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lang w:eastAsia="zh-CN"/>
        </w:rPr>
      </w:pPr>
      <w:r>
        <w:rPr>
          <w:rFonts w:hint="eastAsia"/>
          <w:b/>
          <w:sz w:val="44"/>
          <w:lang w:eastAsia="zh-CN"/>
        </w:rPr>
        <w:t>大城县城市管理综合行政执法局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eastAsia="zh-CN"/>
        </w:rPr>
        <w:t>行政许可</w:t>
      </w:r>
      <w:r>
        <w:rPr>
          <w:rFonts w:hint="eastAsia"/>
          <w:b/>
          <w:sz w:val="44"/>
        </w:rPr>
        <w:t>流程图</w:t>
      </w: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2" o:spid="_x0000_s2050" o:spt="202" type="#_x0000_t202" style="position:absolute;left:0pt;margin-left:84.75pt;margin-top:5.4pt;height:139.55pt;width:256pt;z-index:25165824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ind w:firstLine="1897" w:firstLineChars="900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申请人申请</w:t>
                  </w:r>
                </w:p>
              </w:txbxContent>
            </v:textbox>
          </v:shape>
        </w:pict>
      </w:r>
    </w:p>
    <w:p>
      <w:pPr>
        <w:rPr>
          <w:rFonts w:hint="eastAsia"/>
          <w:sz w:val="18"/>
        </w:rPr>
      </w:pP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23" o:spid="_x0000_s2051" o:spt="32" type="#_x0000_t32" style="position:absolute;left:0pt;margin-left:209.25pt;margin-top:13.75pt;height:26.65pt;width:0.05pt;z-index:251669504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3" o:spid="_x0000_s2052" o:spt="202" type="#_x0000_t202" style="position:absolute;left:0pt;margin-left:156.4pt;margin-top:8.8pt;height:139.55pt;width:110.2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r>
                    <w:rPr>
                      <w:rFonts w:hint="eastAsia"/>
                    </w:rPr>
                    <w:t>到登记场所提出申请</w:t>
                  </w:r>
                </w:p>
              </w:txbxContent>
            </v:textbox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24" o:spid="_x0000_s2053" o:spt="32" type="#_x0000_t32" style="position:absolute;left:0pt;margin-left:209.25pt;margin-top:1.55pt;height:30.45pt;width:0.05pt;z-index:251670528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6" o:spid="_x0000_s2054" o:spt="202" type="#_x0000_t202" style="position:absolute;left:0pt;margin-left:1.5pt;margin-top:0.4pt;height:139.55pt;width:387.75pt;z-index:25166028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ind w:firstLine="3755" w:firstLineChars="1700"/>
                    <w:rPr>
                      <w:rFonts w:hint="eastAsia"/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受理</w:t>
                  </w:r>
                </w:p>
                <w:p>
                  <w:pPr>
                    <w:ind w:firstLine="550" w:firstLineChars="25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收到申请人申请材料，当场或1个工作日内完成申请材料的受理工作</w:t>
                  </w:r>
                </w:p>
              </w:txbxContent>
            </v:textbox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30" o:spid="_x0000_s2055" o:spt="32" type="#_x0000_t32" style="position:absolute;left:0pt;flip:y;margin-left:349.5pt;margin-top:8.75pt;height:35.55pt;width:0.05pt;z-index:251674624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29" o:spid="_x0000_s2056" o:spt="32" type="#_x0000_t32" style="position:absolute;left:0pt;margin-left:303pt;margin-top:8.75pt;height:35.55pt;width:0.05pt;z-index:251673600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26" o:spid="_x0000_s2057" o:spt="32" type="#_x0000_t32" style="position:absolute;left:0pt;flip:x;margin-left:192pt;margin-top:8.75pt;height:33.95pt;width:0.75pt;z-index:251672576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25" o:spid="_x0000_s2058" o:spt="32" type="#_x0000_t32" style="position:absolute;left:0pt;margin-left:52.5pt;margin-top:8.75pt;height:35.55pt;width:0.05pt;z-index:251671552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8" o:spid="_x0000_s2060" o:spt="202" type="#_x0000_t202" style="position:absolute;left:0pt;margin-left:-9.7pt;margin-top:11.5pt;height:73.9pt;width:128.5pt;z-index:2516613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不属于许可范畴或不属于本机关职权范围的，不予受理，并告知申请人向有关部门申请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10" o:spid="_x0000_s2059" o:spt="202" type="#_x0000_t202" style="position:absolute;left:0pt;margin-left:280.6pt;margin-top:12.7pt;height:57.65pt;width:166.1pt;z-index:25166336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材料不全或者不符合法定形式的，当场或1个工作日内返回材料，并一次性告知申请人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9" o:spid="_x0000_s2061" o:spt="202" type="#_x0000_t202" style="position:absolute;left:0pt;margin-left:135pt;margin-top:11.9pt;height:86.95pt;width:127.95pt;z-index:25166233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申请材料齐全，符合法定形式，或者申请人按照本行政机关的要求提交全部补正申请材料的，作出受理决定</w:t>
                  </w:r>
                </w:p>
              </w:txbxContent>
            </v:textbox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31" o:spid="_x0000_s2062" o:spt="32" type="#_x0000_t32" style="position:absolute;left:0pt;margin-left:198pt;margin-top:5.25pt;height:41.3pt;width:0.05pt;z-index:251675648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12" o:spid="_x0000_s2063" o:spt="202" type="#_x0000_t202" style="position:absolute;left:0pt;margin-left:135.4pt;margin-top:-0.25pt;height:88.8pt;width:127.55pt;z-index:2516654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申请人提交的申请材料齐全，返回法定形式，能够当场作出决定的，应当场作出行政许可决定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11" o:spid="_x0000_s2064" o:spt="202" type="#_x0000_t202" style="position:absolute;left:0pt;margin-left:-41.7pt;margin-top:-0.25pt;height:128.95pt;width:134.7pt;z-index:25166438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r>
                    <w:rPr>
                      <w:rFonts w:hint="eastAsia"/>
                    </w:rPr>
                    <w:t>发现行政许可事项直接关系他人重大利益的，应告知利害人，申请人和利害关系人有权进行陈述和申辩，应当听取申请人和利害关系人的意见</w:t>
                  </w:r>
                </w:p>
              </w:txbxContent>
            </v:textbox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32" o:spid="_x0000_s2065" o:spt="32" type="#_x0000_t32" style="position:absolute;left:0pt;flip:x;margin-left:93pt;margin-top:7.05pt;height:0.05pt;width:42pt;z-index:251676672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51" o:spid="_x0000_s2066" o:spt="32" type="#_x0000_t32" style="position:absolute;left:0pt;margin-left:198pt;margin-top:10.55pt;height:11.8pt;width:0.05pt;z-index:251678720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15" o:spid="_x0000_s2067" o:spt="202" type="#_x0000_t202" style="position:absolute;left:0pt;margin-left:107.8pt;margin-top:6.75pt;height:88.8pt;width:166.1pt;z-index:25166643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ind w:firstLine="1265" w:firstLineChars="600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决定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依法当场或者在受理后2个工作日内经现场勘查作出许可或不予许可的决定</w:t>
                  </w:r>
                </w:p>
                <w:p/>
              </w:txbxContent>
            </v:textbox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Elbow Connector 42" o:spid="_x0000_s2068" o:spt="34" type="#_x0000_t34" style="position:absolute;left:0pt;margin-left:24.75pt;margin-top:3.9pt;height:35.4pt;width:83.05pt;z-index:251677696;mso-width-relative:page;mso-height-relative:page;" o:connectortype="elbow" fillcolor="#FFFFFF" filled="f" o:preferrelative="t" stroked="t" coordsize="21600,21600" adj="-52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53" o:spid="_x0000_s2069" o:spt="32" type="#_x0000_t32" style="position:absolute;left:0pt;margin-left:240pt;margin-top:2.4pt;height:16.2pt;width:0.05pt;z-index:251680768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/>
          <w:kern w:val="2"/>
          <w:sz w:val="18"/>
          <w:szCs w:val="22"/>
          <w:lang w:val="en-US" w:eastAsia="zh-CN" w:bidi="ar-SA"/>
        </w:rPr>
        <w:pict>
          <v:shape id="Straight Connector 52" o:spid="_x0000_s2070" o:spt="32" type="#_x0000_t32" style="position:absolute;left:0pt;margin-left:135pt;margin-top:2.4pt;height:15.75pt;width:0.4pt;z-index:251679744;mso-width-relative:page;mso-height-relative:page;" o:connectortype="straight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rPr>
          <w:rFonts w:hint="eastAsia"/>
          <w:sz w:val="18"/>
        </w:rPr>
      </w:pP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17" o:spid="_x0000_s2071" o:spt="202" type="#_x0000_t202" style="position:absolute;left:0pt;margin-left:186.75pt;margin-top:2.55pt;height:139.55pt;width:166.1pt;z-index:25166848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ind w:firstLine="315" w:firstLineChars="150"/>
                  </w:pPr>
                  <w:r>
                    <w:rPr>
                      <w:rFonts w:hint="eastAsia"/>
                    </w:rPr>
                    <w:t>作出准予许可的书面决定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18"/>
          <w:szCs w:val="22"/>
          <w:lang w:val="en-US" w:eastAsia="zh-CN" w:bidi="ar-SA"/>
        </w:rPr>
        <w:pict>
          <v:shape id="Quad Arrow 16" o:spid="_x0000_s2072" o:spt="202" type="#_x0000_t202" style="position:absolute;left:0pt;margin-left:1.9pt;margin-top:2.55pt;height:139.55pt;width:166.1pt;z-index:25166745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r>
                    <w:rPr>
                      <w:rFonts w:hint="eastAsia"/>
                    </w:rPr>
                    <w:t>作出不予行政许可的决定，说明理由，并告知申请人依法申请复议，提起行政诉讼的权力</w:t>
                  </w:r>
                </w:p>
              </w:txbxContent>
            </v:textbox>
          </v:shape>
        </w:pict>
      </w:r>
    </w:p>
    <w:p>
      <w:pPr>
        <w:rPr>
          <w:rFonts w:hint="eastAsia"/>
          <w:sz w:val="18"/>
        </w:rPr>
      </w:pPr>
    </w:p>
    <w:p>
      <w:pPr>
        <w:tabs>
          <w:tab w:val="left" w:pos="3225"/>
        </w:tabs>
        <w:rPr>
          <w:rFonts w:hint="eastAsia"/>
          <w:sz w:val="18"/>
        </w:rPr>
      </w:pPr>
      <w:r>
        <w:rPr>
          <w:sz w:val="18"/>
        </w:rPr>
        <w:tab/>
      </w:r>
    </w:p>
    <w:p>
      <w:pPr>
        <w:tabs>
          <w:tab w:val="left" w:pos="3225"/>
        </w:tabs>
        <w:rPr>
          <w:rFonts w:hint="eastAsia"/>
          <w:sz w:val="18"/>
        </w:rPr>
      </w:pPr>
    </w:p>
    <w:p>
      <w:pPr>
        <w:tabs>
          <w:tab w:val="left" w:pos="3225"/>
        </w:tabs>
        <w:rPr>
          <w:rFonts w:hint="eastAsia"/>
          <w:sz w:val="1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机构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lang w:eastAsia="zh-CN"/>
        </w:rPr>
        <w:t>市容管理股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服务</w:t>
      </w:r>
      <w:r>
        <w:rPr>
          <w:rFonts w:hint="eastAsia" w:ascii="宋体" w:hAnsi="宋体" w:cs="宋体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监督电话：5500338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09051D"/>
    <w:rsid w:val="0858769C"/>
    <w:rsid w:val="1B1057D2"/>
    <w:rsid w:val="28E42269"/>
    <w:rsid w:val="4D015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Straight Connector 23"/>
        <o:r id="V:Rule2" type="connector" idref="#Straight Connector 24"/>
        <o:r id="V:Rule3" type="connector" idref="#Straight Connector 30"/>
        <o:r id="V:Rule4" type="connector" idref="#Straight Connector 29"/>
        <o:r id="V:Rule5" type="connector" idref="#Straight Connector 26"/>
        <o:r id="V:Rule6" type="connector" idref="#Straight Connector 25"/>
        <o:r id="V:Rule7" type="connector" idref="#Straight Connector 31"/>
        <o:r id="V:Rule8" type="connector" idref="#Straight Connector 32"/>
        <o:r id="V:Rule9" type="connector" idref="#Straight Connector 51"/>
        <o:r id="V:Rule10" type="connector" idref="#Elbow Connector 42"/>
        <o:r id="V:Rule11" type="connector" idref="#Straight Connector 53"/>
        <o:r id="V:Rule12" type="connector" idref="#Straight Connector 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60"/>
    <customShpInfo spid="_x0000_s2059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2014-09-23T02:39:00Z</dcterms:created>
  <dc:creator>Administrator</dc:creator>
  <cp:lastModifiedBy>Administrator</cp:lastModifiedBy>
  <cp:lastPrinted>2017-07-25T02:10:00Z</cp:lastPrinted>
  <dcterms:modified xsi:type="dcterms:W3CDTF">2013-01-13T08:53:01Z</dcterms:modified>
  <dc:title>大城县城管局户外广告设置审批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