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sz w:val="84"/>
          <w:szCs w:val="84"/>
        </w:rPr>
      </w:pPr>
    </w:p>
    <w:p>
      <w:pPr>
        <w:widowControl/>
        <w:spacing w:line="1200" w:lineRule="exact"/>
        <w:jc w:val="center"/>
        <w:rPr>
          <w:sz w:val="84"/>
          <w:szCs w:val="84"/>
        </w:rPr>
      </w:pPr>
      <w:bookmarkStart w:id="1" w:name="_GoBack"/>
      <w:bookmarkEnd w:id="1"/>
    </w:p>
    <w:p>
      <w:pPr>
        <w:widowControl/>
        <w:spacing w:line="1200" w:lineRule="exact"/>
        <w:jc w:val="center"/>
        <w:rPr>
          <w:sz w:val="84"/>
          <w:szCs w:val="84"/>
        </w:rPr>
      </w:pPr>
      <w:r>
        <w:rPr>
          <w:sz w:val="84"/>
          <w:szCs w:val="84"/>
        </w:rPr>
        <w:t>201</w:t>
      </w:r>
      <w:r>
        <w:rPr>
          <w:rFonts w:hint="eastAsia"/>
          <w:sz w:val="84"/>
          <w:szCs w:val="84"/>
        </w:rPr>
        <w:t>8</w:t>
      </w:r>
      <w:r>
        <w:rPr>
          <w:sz w:val="84"/>
          <w:szCs w:val="84"/>
        </w:rPr>
        <w:t>年度部门决算</w:t>
      </w:r>
    </w:p>
    <w:p>
      <w:pPr>
        <w:widowControl/>
        <w:spacing w:line="1200" w:lineRule="exact"/>
        <w:jc w:val="center"/>
        <w:rPr>
          <w:color w:val="000000"/>
          <w:sz w:val="96"/>
          <w:szCs w:val="96"/>
        </w:rPr>
      </w:pPr>
      <w:r>
        <w:rPr>
          <w:sz w:val="84"/>
          <w:szCs w:val="84"/>
        </w:rPr>
        <w:t>公开</w:t>
      </w: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楷体" w:eastAsia="楷体" w:cs="楷体"/>
          <w:b/>
          <w:sz w:val="44"/>
          <w:szCs w:val="44"/>
        </w:rPr>
        <w:sectPr>
          <w:pgSz w:w="11906" w:h="16838"/>
          <w:pgMar w:top="1588" w:right="2098" w:bottom="1474" w:left="1985" w:header="851" w:footer="992" w:gutter="0"/>
          <w:docGrid w:type="lines" w:linePitch="312" w:charSpace="0"/>
        </w:sectPr>
      </w:pPr>
      <w:r>
        <w:rPr>
          <w:b/>
          <w:sz w:val="44"/>
          <w:szCs w:val="44"/>
        </w:rPr>
        <w:t>廊坊市</w:t>
      </w:r>
      <w:r>
        <w:rPr>
          <w:rFonts w:hint="eastAsia"/>
          <w:b/>
          <w:sz w:val="44"/>
          <w:szCs w:val="44"/>
          <w:lang w:eastAsia="zh-CN"/>
        </w:rPr>
        <w:t>大城县司法局</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大城县司法局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eastAsia="黑体"/>
          <w:color w:val="000000"/>
          <w:sz w:val="96"/>
          <w:szCs w:val="96"/>
        </w:rPr>
        <w:t>第一部分部门概况</w:t>
      </w:r>
    </w:p>
    <w:p>
      <w:pPr>
        <w:jc w:val="center"/>
      </w:pPr>
    </w:p>
    <w:p/>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hint="eastAsia" w:ascii="黑体" w:eastAsia="黑体" w:cs="黑体"/>
          <w:b w:val="0"/>
          <w:bCs w:val="0"/>
          <w:kern w:val="0"/>
          <w:sz w:val="32"/>
          <w:szCs w:val="32"/>
        </w:rPr>
      </w:pPr>
    </w:p>
    <w:p>
      <w:pPr>
        <w:pStyle w:val="2"/>
        <w:spacing w:before="0" w:after="0" w:line="600" w:lineRule="exact"/>
        <w:jc w:val="left"/>
        <w:rPr>
          <w:rFonts w:hint="eastAsia" w:ascii="黑体" w:eastAsia="黑体" w:cs="黑体"/>
          <w:b w:val="0"/>
          <w:bCs w:val="0"/>
          <w:kern w:val="0"/>
          <w:sz w:val="32"/>
          <w:szCs w:val="32"/>
        </w:rPr>
      </w:pPr>
    </w:p>
    <w:p>
      <w:pPr>
        <w:pStyle w:val="2"/>
        <w:spacing w:before="0" w:after="0" w:line="600" w:lineRule="exact"/>
        <w:jc w:val="left"/>
        <w:rPr>
          <w:rFonts w:hint="eastAsia" w:ascii="黑体" w:eastAsia="黑体" w:cs="黑体"/>
          <w:b w:val="0"/>
          <w:bCs w:val="0"/>
          <w:kern w:val="0"/>
          <w:sz w:val="32"/>
          <w:szCs w:val="32"/>
        </w:rPr>
      </w:pPr>
    </w:p>
    <w:p>
      <w:pPr>
        <w:pStyle w:val="2"/>
        <w:spacing w:before="0" w:after="0" w:line="600" w:lineRule="exact"/>
        <w:jc w:val="left"/>
        <w:rPr>
          <w:rFonts w:hint="eastAsia" w:ascii="黑体" w:eastAsia="黑体" w:cs="黑体"/>
          <w:b w:val="0"/>
          <w:bCs w:val="0"/>
          <w:kern w:val="0"/>
          <w:sz w:val="32"/>
          <w:szCs w:val="32"/>
        </w:rPr>
      </w:pPr>
    </w:p>
    <w:p>
      <w:pPr>
        <w:pStyle w:val="2"/>
        <w:spacing w:before="0" w:after="0" w:line="600" w:lineRule="exact"/>
        <w:jc w:val="left"/>
        <w:rPr>
          <w:rFonts w:hint="eastAsia" w:ascii="黑体" w:eastAsia="黑体" w:cs="黑体"/>
          <w:b w:val="0"/>
          <w:bCs w:val="0"/>
          <w:kern w:val="0"/>
          <w:sz w:val="32"/>
          <w:szCs w:val="32"/>
        </w:rPr>
      </w:pPr>
    </w:p>
    <w:p>
      <w:pPr>
        <w:rPr>
          <w:rFonts w:hint="eastAsia"/>
        </w:rPr>
      </w:pP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wordWrap/>
        <w:adjustRightInd/>
        <w:snapToGrid/>
        <w:spacing w:beforeAutospacing="0" w:afterAutospacing="0" w:line="440" w:lineRule="exact"/>
        <w:ind w:left="0" w:right="0" w:firstLine="640"/>
        <w:jc w:val="both"/>
        <w:textAlignment w:val="auto"/>
        <w:outlineLvl w:val="9"/>
        <w:rPr>
          <w:rFonts w:hint="eastAsia" w:ascii="仿宋_GB2312" w:eastAsia="仿宋_GB2312" w:cs="仿宋_GB2312"/>
          <w:sz w:val="32"/>
          <w:szCs w:val="32"/>
        </w:rPr>
      </w:pPr>
      <w:r>
        <w:rPr>
          <w:rFonts w:hint="eastAsia" w:ascii="仿宋_GB2312" w:eastAsia="仿宋_GB2312" w:cs="仿宋_GB2312"/>
          <w:kern w:val="0"/>
          <w:sz w:val="32"/>
          <w:szCs w:val="32"/>
          <w:lang w:val="en-US" w:eastAsia="zh-CN"/>
        </w:rPr>
        <w:t>（一）贯彻落实国家有关司法工作的法律、法规及司法行政工作方针政策；制定全县司法行政工作中期规划并组织实施。</w:t>
      </w:r>
    </w:p>
    <w:p>
      <w:pPr>
        <w:widowControl/>
        <w:wordWrap/>
        <w:adjustRightInd/>
        <w:snapToGrid/>
        <w:spacing w:beforeAutospacing="0" w:afterAutospacing="0" w:line="440" w:lineRule="exact"/>
        <w:ind w:left="0" w:right="0" w:firstLine="64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（二）负责全县社区矫正和安置帮教工作</w:t>
      </w:r>
    </w:p>
    <w:p>
      <w:pPr>
        <w:widowControl/>
        <w:wordWrap/>
        <w:adjustRightInd/>
        <w:snapToGrid/>
        <w:spacing w:beforeAutospacing="0" w:afterAutospacing="0" w:line="440" w:lineRule="exact"/>
        <w:ind w:left="0" w:right="0" w:firstLine="64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（三）负责指导和管理基层司法所工作</w:t>
      </w:r>
    </w:p>
    <w:p>
      <w:pPr>
        <w:widowControl/>
        <w:wordWrap/>
        <w:adjustRightInd/>
        <w:snapToGrid/>
        <w:spacing w:beforeAutospacing="0" w:afterAutospacing="0" w:line="440" w:lineRule="exact"/>
        <w:ind w:left="0" w:right="0" w:firstLine="64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（四）负责指导和监督人民调解工作。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kern w:val="0"/>
          <w:sz w:val="32"/>
          <w:szCs w:val="32"/>
          <w:lang w:val="en-US" w:eastAsia="zh-CN"/>
        </w:rPr>
        <w:t>（五）</w:t>
      </w:r>
      <w:r>
        <w:rPr>
          <w:rFonts w:hint="eastAsia" w:ascii="仿宋_GB2312" w:eastAsia="仿宋_GB2312" w:cs="仿宋_GB2312"/>
          <w:sz w:val="32"/>
          <w:szCs w:val="32"/>
        </w:rPr>
        <w:t>拟订全县法制宣传教育规划并组织实施；开展全县法制宣传、依法治理工作；开展法制宣传报道；组织全县司法宣传和新闻发布；承担县法制教育领导小组办公室工作。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（六）负责组织全县领导干部学法用法考试工作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（七</w:t>
      </w:r>
      <w:r>
        <w:rPr>
          <w:rFonts w:hint="eastAsia" w:ascii="仿宋_GB2312" w:eastAsia="仿宋_GB2312" w:cs="仿宋_GB2312"/>
          <w:sz w:val="32"/>
          <w:szCs w:val="32"/>
          <w:lang w:val="en-US" w:eastAsia="zh-CN"/>
        </w:rPr>
        <w:t>)负责指导、监督全县司法鉴定工作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（八）指导、监督全县律师、法律服务工作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（九）负责全县的法律援助工作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（十）负责全县公证工作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（十一）负责司法行政系统领导班子建设和队伍建设</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（十二）承办县政府交办的其他事项</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p>
      <w:pPr>
        <w:spacing w:after="0" w:line="560" w:lineRule="exact"/>
        <w:ind w:firstLine="640" w:firstLineChars="200"/>
        <w:rPr>
          <w:rFonts w:hint="eastAsia" w:ascii="仿宋_GB2312" w:eastAsia="仿宋_GB2312" w:cs="ArialUnicodeMS"/>
          <w:kern w:val="0"/>
          <w:sz w:val="32"/>
          <w:szCs w:val="32"/>
        </w:rPr>
      </w:pPr>
    </w:p>
    <w:tbl>
      <w:tblPr>
        <w:tblStyle w:val="13"/>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after="0" w:line="560" w:lineRule="exact"/>
              <w:jc w:val="center"/>
              <w:rPr>
                <w:rFonts w:ascii="仿宋_GB2312" w:eastAsia="仿宋_GB2312" w:cs="ArialUnicodeMS"/>
                <w:kern w:val="0"/>
                <w:sz w:val="32"/>
                <w:szCs w:val="32"/>
              </w:rPr>
            </w:pPr>
            <w:r>
              <w:rPr>
                <w:rFonts w:hint="eastAsia" w:ascii="仿宋_GB2312" w:eastAsia="仿宋_GB2312" w:cs="ArialUnicodeMS"/>
                <w:kern w:val="0"/>
                <w:sz w:val="32"/>
                <w:szCs w:val="32"/>
                <w:lang w:eastAsia="zh-CN"/>
              </w:rPr>
              <w:t>大城县司法局</w:t>
            </w:r>
          </w:p>
        </w:tc>
        <w:tc>
          <w:tcPr>
            <w:tcW w:w="2445" w:type="dxa"/>
            <w:vAlign w:val="center"/>
          </w:tcPr>
          <w:p>
            <w:pPr>
              <w:spacing w:line="300" w:lineRule="exact"/>
              <w:jc w:val="center"/>
              <w:rPr>
                <w:rFonts w:ascii="仿宋_GB2312" w:eastAsia="仿宋_GB2312" w:cs="ArialUnicodeMS"/>
                <w:kern w:val="0"/>
                <w:sz w:val="32"/>
                <w:szCs w:val="32"/>
              </w:rPr>
            </w:pPr>
            <w:r>
              <w:rPr>
                <w:rFonts w:hint="eastAsia" w:ascii="仿宋_GB2312" w:eastAsia="仿宋_GB2312" w:cs="仿宋_GB2312"/>
                <w:sz w:val="32"/>
                <w:szCs w:val="32"/>
                <w:lang w:eastAsia="zh-CN"/>
              </w:rPr>
              <w:t>行政</w:t>
            </w:r>
          </w:p>
        </w:tc>
        <w:tc>
          <w:tcPr>
            <w:tcW w:w="2665" w:type="dxa"/>
          </w:tcPr>
          <w:p>
            <w:pPr>
              <w:spacing w:after="0" w:line="560" w:lineRule="exact"/>
              <w:jc w:val="center"/>
              <w:rPr>
                <w:rFonts w:ascii="仿宋_GB2312" w:eastAsia="仿宋_GB2312" w:cs="ArialUnicodeMS"/>
                <w:kern w:val="0"/>
                <w:sz w:val="32"/>
                <w:szCs w:val="32"/>
              </w:rPr>
            </w:pPr>
            <w:r>
              <w:rPr>
                <w:rFonts w:hint="eastAsia" w:ascii="仿宋_GB2312" w:eastAsia="仿宋_GB2312" w:cs="仿宋_GB2312"/>
                <w:sz w:val="32"/>
                <w:szCs w:val="32"/>
                <w:lang w:eastAsia="zh-CN"/>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color w:val="0000FF"/>
                <w:kern w:val="0"/>
                <w:sz w:val="28"/>
                <w:szCs w:val="28"/>
              </w:rPr>
            </w:pPr>
          </w:p>
        </w:tc>
      </w:tr>
    </w:tbl>
    <w:p>
      <w:pPr>
        <w:widowControl/>
        <w:spacing w:line="1200" w:lineRule="exact"/>
        <w:ind w:firstLine="2880" w:firstLineChars="400"/>
        <w:jc w:val="both"/>
        <w:rPr>
          <w:rFonts w:hint="eastAsia" w:ascii="黑体" w:eastAsia="黑体"/>
          <w:color w:val="000000"/>
          <w:sz w:val="72"/>
          <w:szCs w:val="96"/>
          <w:u w:val="single"/>
        </w:rPr>
      </w:pPr>
    </w:p>
    <w:p>
      <w:pPr>
        <w:spacing w:after="0" w:line="560" w:lineRule="exact"/>
        <w:ind w:firstLine="640" w:firstLineChars="200"/>
        <w:rPr>
          <w:rFonts w:hint="eastAsia" w:ascii="仿宋_GB2312" w:eastAsia="仿宋_GB2312" w:cs="ArialUnicodeMS"/>
          <w:kern w:val="0"/>
          <w:sz w:val="32"/>
          <w:szCs w:val="32"/>
        </w:rPr>
      </w:pPr>
    </w:p>
    <w:p>
      <w:pPr>
        <w:widowControl/>
        <w:spacing w:line="1200" w:lineRule="exact"/>
        <w:ind w:left="0"/>
        <w:jc w:val="center"/>
        <w:rPr>
          <w:rFonts w:ascii="黑体" w:eastAsia="黑体"/>
          <w:color w:val="000000"/>
          <w:sz w:val="96"/>
          <w:szCs w:val="96"/>
        </w:rPr>
      </w:pPr>
    </w:p>
    <w:p>
      <w:pPr>
        <w:widowControl/>
        <w:spacing w:line="1200" w:lineRule="exact"/>
        <w:ind w:left="0"/>
        <w:jc w:val="center"/>
        <w:rPr>
          <w:rFonts w:ascii="黑体" w:eastAsia="黑体"/>
          <w:color w:val="000000"/>
          <w:sz w:val="96"/>
          <w:szCs w:val="96"/>
        </w:rPr>
      </w:pPr>
    </w:p>
    <w:p>
      <w:pPr>
        <w:widowControl/>
        <w:spacing w:line="1200" w:lineRule="exact"/>
        <w:ind w:left="0"/>
        <w:jc w:val="center"/>
        <w:rPr>
          <w:rFonts w:ascii="黑体" w:eastAsia="黑体"/>
          <w:color w:val="000000"/>
          <w:sz w:val="96"/>
          <w:szCs w:val="96"/>
        </w:rPr>
      </w:pPr>
    </w:p>
    <w:p>
      <w:pPr>
        <w:widowControl/>
        <w:spacing w:line="1200" w:lineRule="exact"/>
        <w:ind w:left="0"/>
        <w:jc w:val="center"/>
        <w:rPr>
          <w:rFonts w:ascii="黑体" w:eastAsia="黑体"/>
          <w:color w:val="000000"/>
          <w:sz w:val="96"/>
          <w:szCs w:val="96"/>
        </w:rPr>
      </w:pPr>
      <w:r>
        <w:rPr>
          <w:rFonts w:hint="eastAsia" w:ascii="黑体" w:eastAsia="黑体"/>
          <w:color w:val="000000"/>
          <w:sz w:val="96"/>
          <w:szCs w:val="96"/>
        </w:rPr>
        <w:t>第二部分</w:t>
      </w:r>
    </w:p>
    <w:p>
      <w:pPr>
        <w:widowControl/>
        <w:spacing w:line="1200" w:lineRule="exact"/>
        <w:jc w:val="center"/>
        <w:rPr>
          <w:rFonts w:hint="eastAsia" w:eastAsia="黑体"/>
          <w:color w:val="000000"/>
          <w:sz w:val="72"/>
          <w:szCs w:val="96"/>
          <w:lang w:eastAsia="zh-CN"/>
        </w:rPr>
      </w:pPr>
      <w:r>
        <w:rPr>
          <w:rFonts w:hint="eastAsia" w:ascii="黑体" w:eastAsia="黑体"/>
          <w:color w:val="000000"/>
          <w:sz w:val="96"/>
          <w:szCs w:val="96"/>
        </w:rPr>
        <w:t>2018年度部门决算报表</w:t>
      </w:r>
      <w:r>
        <w:rPr>
          <w:rFonts w:hint="eastAsia" w:ascii="黑体" w:eastAsia="黑体"/>
          <w:color w:val="000000"/>
          <w:sz w:val="96"/>
          <w:szCs w:val="96"/>
          <w:lang w:eastAsia="zh-CN"/>
        </w:rPr>
        <w:t>（见附件）</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720" w:right="720" w:bottom="720" w:left="720"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1588" w:right="2098" w:bottom="1474" w:left="1984" w:header="851" w:footer="992" w:gutter="0"/>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hint="eastAsia" w:ascii="仿宋_GB2312" w:eastAsia="仿宋_GB2312" w:cs="DengXian-Regular"/>
          <w:sz w:val="32"/>
          <w:szCs w:val="32"/>
          <w:lang w:val="en-US" w:eastAsia="zh-CN"/>
        </w:rPr>
        <w:t>813.42</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，支出</w:t>
      </w:r>
      <w:r>
        <w:rPr>
          <w:rFonts w:hint="eastAsia" w:ascii="仿宋_GB2312" w:eastAsia="仿宋_GB2312" w:cs="DengXian-Regular"/>
          <w:sz w:val="32"/>
          <w:szCs w:val="32"/>
          <w:lang w:val="en-US" w:eastAsia="zh-CN"/>
        </w:rPr>
        <w:t>789.12万元，本年结转24.3万元</w:t>
      </w:r>
      <w:r>
        <w:rPr>
          <w:rFonts w:hint="eastAsia" w:ascii="仿宋_GB2312" w:eastAsia="仿宋_GB2312" w:cs="DengXian-Regular"/>
          <w:sz w:val="32"/>
          <w:szCs w:val="32"/>
        </w:rPr>
        <w:t>。与2017年度决算相比，收</w:t>
      </w:r>
      <w:r>
        <w:rPr>
          <w:rFonts w:hint="eastAsia" w:ascii="仿宋_GB2312" w:eastAsia="仿宋_GB2312" w:cs="DengXian-Regular"/>
          <w:sz w:val="32"/>
          <w:szCs w:val="32"/>
          <w:lang w:eastAsia="zh-CN"/>
        </w:rPr>
        <w:t>入增加</w:t>
      </w:r>
      <w:r>
        <w:rPr>
          <w:rFonts w:hint="eastAsia" w:ascii="仿宋_GB2312" w:eastAsia="仿宋_GB2312" w:cs="DengXian-Regular"/>
          <w:sz w:val="32"/>
          <w:szCs w:val="32"/>
          <w:lang w:val="en-US" w:eastAsia="zh-CN"/>
        </w:rPr>
        <w:t>172.16万元，</w:t>
      </w:r>
      <w:r>
        <w:rPr>
          <w:rFonts w:hint="eastAsia" w:ascii="仿宋_GB2312" w:eastAsia="仿宋_GB2312" w:cs="DengXian-Regular"/>
          <w:sz w:val="32"/>
          <w:szCs w:val="32"/>
        </w:rPr>
        <w:t>增长</w:t>
      </w:r>
      <w:r>
        <w:rPr>
          <w:rFonts w:hint="eastAsia" w:ascii="仿宋_GB2312" w:eastAsia="仿宋_GB2312" w:cs="DengXian-Regular"/>
          <w:sz w:val="32"/>
          <w:szCs w:val="32"/>
          <w:lang w:val="en-US" w:eastAsia="zh-CN"/>
        </w:rPr>
        <w:t>26.85</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人员经费增加，项目资金调整。</w:t>
      </w:r>
      <w:r>
        <w:rPr>
          <w:rFonts w:hint="eastAsia" w:ascii="仿宋_GB2312" w:eastAsia="仿宋_GB2312" w:cs="DengXian-Regular"/>
          <w:sz w:val="32"/>
          <w:szCs w:val="32"/>
        </w:rPr>
        <w:t>本部门2018年度支出总计7</w:t>
      </w:r>
      <w:r>
        <w:rPr>
          <w:rFonts w:hint="eastAsia" w:ascii="仿宋_GB2312" w:eastAsia="仿宋_GB2312" w:cs="DengXian-Regular"/>
          <w:sz w:val="32"/>
          <w:szCs w:val="32"/>
          <w:lang w:val="en-US" w:eastAsia="zh-CN"/>
        </w:rPr>
        <w:t>89.12</w:t>
      </w:r>
      <w:r>
        <w:rPr>
          <w:rFonts w:hint="eastAsia" w:ascii="仿宋_GB2312" w:eastAsia="仿宋_GB2312" w:cs="DengXian-Regular"/>
          <w:sz w:val="32"/>
          <w:szCs w:val="32"/>
        </w:rPr>
        <w:t>万元，于2017年度决算相比，支</w:t>
      </w:r>
      <w:r>
        <w:rPr>
          <w:rFonts w:hint="eastAsia" w:ascii="仿宋_GB2312" w:eastAsia="仿宋_GB2312" w:cs="DengXian-Regular"/>
          <w:sz w:val="32"/>
          <w:szCs w:val="32"/>
          <w:lang w:eastAsia="zh-CN"/>
        </w:rPr>
        <w:t>出</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147.86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23.06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人员经费增加，项目资金调整。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813.42</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813.42</w:t>
      </w:r>
      <w:r>
        <w:rPr>
          <w:rFonts w:hint="eastAsia" w:ascii="仿宋_GB2312" w:eastAsia="仿宋_GB2312" w:cs="DengXian-Regular"/>
          <w:sz w:val="32"/>
          <w:szCs w:val="32"/>
        </w:rPr>
        <w:t>万元，占100%。如图所示：</w:t>
      </w:r>
    </w:p>
    <w:p>
      <w:pPr>
        <w:adjustRightInd w:val="0"/>
        <w:snapToGrid w:val="0"/>
        <w:spacing w:line="584" w:lineRule="exact"/>
        <w:rPr>
          <w:rFonts w:eastAsia="仿宋_GB2312"/>
          <w:sz w:val="32"/>
          <w:szCs w:val="32"/>
        </w:rPr>
      </w:pPr>
      <w:r>
        <w:rPr>
          <w:rFonts w:eastAsia="仿宋_GB2312"/>
          <w:sz w:val="32"/>
          <w:szCs w:val="32"/>
        </w:rPr>
        <w:t>图1：收入决算结构饼状图</w:t>
      </w:r>
    </w:p>
    <w:p>
      <w:pPr>
        <w:jc w:val="left"/>
        <w:rPr>
          <w:rFonts w:ascii="黑体" w:eastAsia="黑体" w:cs="Arial"/>
          <w:sz w:val="32"/>
          <w:szCs w:val="32"/>
        </w:rPr>
      </w:pPr>
      <w:r>
        <w:rPr>
          <w:sz w:val="32"/>
        </w:rPr>
        <mc:AlternateContent>
          <mc:Choice Requires="wps">
            <w:drawing>
              <wp:anchor distT="0" distB="0" distL="113665" distR="113665" simplePos="0" relativeHeight="1024" behindDoc="0" locked="0" layoutInCell="1" allowOverlap="1">
                <wp:simplePos x="0" y="0"/>
                <wp:positionH relativeFrom="column">
                  <wp:posOffset>483235</wp:posOffset>
                </wp:positionH>
                <wp:positionV relativeFrom="paragraph">
                  <wp:posOffset>107315</wp:posOffset>
                </wp:positionV>
                <wp:extent cx="3456940" cy="3504565"/>
                <wp:effectExtent l="0" t="0" r="0" b="0"/>
                <wp:wrapNone/>
                <wp:docPr id="1" name="椭圆"/>
                <wp:cNvGraphicFramePr/>
                <a:graphic xmlns:a="http://schemas.openxmlformats.org/drawingml/2006/main">
                  <a:graphicData uri="http://schemas.microsoft.com/office/word/2010/wordprocessingShape">
                    <wps:wsp>
                      <wps:cNvSpPr/>
                      <wps:spPr>
                        <a:xfrm>
                          <a:off x="0" y="0"/>
                          <a:ext cx="3456940" cy="3504564"/>
                        </a:xfrm>
                        <a:prstGeom prst="ellipse">
                          <a:avLst/>
                        </a:prstGeom>
                        <a:solidFill>
                          <a:srgbClr val="F0A22E"/>
                        </a:solidFill>
                        <a:ln w="25400" cap="flat" cmpd="sng">
                          <a:solidFill>
                            <a:srgbClr val="B0761F"/>
                          </a:solidFill>
                          <a:prstDash val="solid"/>
                          <a:miter/>
                        </a:ln>
                      </wps:spPr>
                      <wps:txbx>
                        <w:txbxContent>
                          <w:p>
                            <w:pPr>
                              <w:jc w:val="center"/>
                              <w:rPr>
                                <w:color w:val="FF0000"/>
                              </w:rPr>
                            </w:pPr>
                            <w:r>
                              <w:rPr>
                                <w:rFonts w:hint="eastAsia"/>
                                <w:color w:val="FF0000"/>
                              </w:rPr>
                              <w:t>财政收入100%</w:t>
                            </w:r>
                          </w:p>
                        </w:txbxContent>
                      </wps:txbx>
                      <wps:bodyPr vert="horz" wrap="square" lIns="91440" tIns="45720" rIns="91440" bIns="45720" anchor="ctr" anchorCtr="0" upright="1">
                        <a:noAutofit/>
                      </wps:bodyPr>
                    </wps:wsp>
                  </a:graphicData>
                </a:graphic>
              </wp:anchor>
            </w:drawing>
          </mc:Choice>
          <mc:Fallback>
            <w:pict>
              <v:shape id="椭圆" o:spid="_x0000_s1026" o:spt="3" type="#_x0000_t3" style="position:absolute;left:0pt;margin-left:38.05pt;margin-top:8.45pt;height:275.95pt;width:272.2pt;z-index:1024;v-text-anchor:middle;mso-width-relative:page;mso-height-relative:page;" fillcolor="#F0A22E" filled="t" stroked="t" coordsize="21600,21600" o:gfxdata="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VXcbZAAAACQEAAA8AAAAAAAAAAQAg&#10;AAAAIgAAAGRycy9kb3ducmV2LnhtbFBLAQIUABQAAAAIAIdO4kDx4bCaDQIAAA0EAAAOAAAAAAAA&#10;AAEAIAAAACgBAABkcnMvZTJvRG9jLnhtbFBLBQYAAAAABgAGAFkBAACnBQAAAAA=&#10;">
                <v:fill on="t" focussize="0,0"/>
                <v:stroke weight="2pt" color="#B0761F" joinstyle="miter"/>
                <v:imagedata o:title=""/>
                <o:lock v:ext="edit" aspectratio="f"/>
                <v:textbox>
                  <w:txbxContent>
                    <w:p>
                      <w:pPr>
                        <w:jc w:val="center"/>
                        <w:rPr>
                          <w:color w:val="FF0000"/>
                        </w:rPr>
                      </w:pPr>
                      <w:r>
                        <w:rPr>
                          <w:rFonts w:hint="eastAsia"/>
                          <w:color w:val="FF0000"/>
                        </w:rPr>
                        <w:t>财政收入100%</w:t>
                      </w:r>
                    </w:p>
                  </w:txbxContent>
                </v:textbox>
              </v:shape>
            </w:pict>
          </mc:Fallback>
        </mc:AlternateContent>
      </w:r>
    </w:p>
    <w:p>
      <w:pPr>
        <w:jc w:val="left"/>
        <w:rPr>
          <w:rFonts w:ascii="黑体" w:eastAsia="黑体" w:cs="Arial"/>
          <w:sz w:val="32"/>
          <w:szCs w:val="32"/>
        </w:rPr>
      </w:pPr>
    </w:p>
    <w:p>
      <w:pPr>
        <w:jc w:val="left"/>
        <w:rPr>
          <w:rFonts w:ascii="黑体" w:eastAsia="黑体" w:cs="Arial"/>
          <w:sz w:val="32"/>
          <w:szCs w:val="32"/>
        </w:rPr>
      </w:pPr>
    </w:p>
    <w:p>
      <w:pPr>
        <w:jc w:val="left"/>
        <w:rPr>
          <w:rFonts w:ascii="黑体" w:eastAsia="黑体" w:cs="Arial"/>
          <w:sz w:val="32"/>
          <w:szCs w:val="32"/>
        </w:rPr>
      </w:pPr>
    </w:p>
    <w:p>
      <w:pPr>
        <w:jc w:val="left"/>
        <w:rPr>
          <w:rFonts w:ascii="黑体" w:eastAsia="黑体" w:cs="Arial"/>
          <w:sz w:val="32"/>
          <w:szCs w:val="32"/>
        </w:rPr>
      </w:pPr>
    </w:p>
    <w:p>
      <w:pPr>
        <w:jc w:val="left"/>
        <w:rPr>
          <w:rFonts w:ascii="黑体" w:eastAsia="黑体" w:cs="Arial"/>
          <w:sz w:val="32"/>
          <w:szCs w:val="32"/>
        </w:rPr>
      </w:pPr>
    </w:p>
    <w:p>
      <w:pPr>
        <w:jc w:val="left"/>
        <w:rPr>
          <w:rFonts w:ascii="黑体" w:eastAsia="黑体" w:cs="Arial"/>
          <w:sz w:val="32"/>
          <w:szCs w:val="32"/>
        </w:rPr>
      </w:pPr>
    </w:p>
    <w:p>
      <w:pPr>
        <w:adjustRightInd w:val="0"/>
        <w:snapToGrid w:val="0"/>
        <w:spacing w:line="584" w:lineRule="exact"/>
        <w:ind w:firstLine="640" w:firstLineChars="200"/>
        <w:jc w:val="left"/>
        <w:rPr>
          <w:rFonts w:hint="eastAsia" w:eastAsia="仿宋_GB2312"/>
          <w:sz w:val="32"/>
          <w:szCs w:val="32"/>
          <w:lang w:eastAsia="zh-CN"/>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798.12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621.55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78.76</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167.57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21.24</w:t>
      </w:r>
      <w:r>
        <w:rPr>
          <w:rFonts w:hint="eastAsia" w:ascii="仿宋_GB2312" w:eastAsia="仿宋_GB2312" w:cs="DengXian-Regular"/>
          <w:sz w:val="32"/>
          <w:szCs w:val="32"/>
        </w:rPr>
        <w:t>%。如图所示：</w:t>
      </w:r>
      <w:r>
        <w:rPr>
          <w:rFonts w:eastAsia="仿宋_GB2312"/>
          <w:sz w:val="32"/>
          <w:szCs w:val="32"/>
        </w:rPr>
        <w:t>图2：支出决算结构饼状图</w:t>
      </w: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1024" behindDoc="1" locked="0" layoutInCell="1" allowOverlap="1">
            <wp:simplePos x="0" y="0"/>
            <wp:positionH relativeFrom="column">
              <wp:posOffset>86995</wp:posOffset>
            </wp:positionH>
            <wp:positionV relativeFrom="paragraph">
              <wp:posOffset>187960</wp:posOffset>
            </wp:positionV>
            <wp:extent cx="5080000" cy="3810000"/>
            <wp:effectExtent l="0" t="0" r="0" b="0"/>
            <wp:wrapNone/>
            <wp:docPr id="4" name="图表 2"/>
            <wp:cNvGraphicFramePr/>
            <a:graphic xmlns:a="http://schemas.openxmlformats.org/drawingml/2006/main">
              <a:graphicData uri="http://schemas.openxmlformats.org/drawingml/2006/picture">
                <pic:pic xmlns:pic="http://schemas.openxmlformats.org/drawingml/2006/picture">
                  <pic:nvPicPr>
                    <pic:cNvPr id="4" name="图表 2"/>
                    <pic:cNvPicPr/>
                  </pic:nvPicPr>
                  <pic:blipFill>
                    <a:blip r:embed="rId4"/>
                    <a:stretch>
                      <a:fillRect/>
                    </a:stretch>
                  </pic:blipFill>
                  <pic:spPr>
                    <a:xfrm>
                      <a:off x="0" y="0"/>
                      <a:ext cx="5079999" cy="3810000"/>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jc w:val="left"/>
        <w:rPr>
          <w:rFonts w:hint="eastAsia" w:ascii="仿宋_GB2312" w:eastAsia="仿宋_GB2312" w:cs="DengXian-Regular"/>
          <w:sz w:val="32"/>
          <w:szCs w:val="32"/>
          <w:lang w:eastAsia="zh-CN"/>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813.42</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172.16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26.85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人员经费增加，项目资金调整。</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789.12</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147.86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23.06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人员经费增加，项目资金调整</w:t>
      </w:r>
      <w:r>
        <w:rPr>
          <w:rFonts w:hint="eastAsia" w:ascii="仿宋_GB2312" w:eastAsia="仿宋_GB2312" w:cs="DengXian-Regular"/>
          <w:sz w:val="32"/>
          <w:szCs w:val="32"/>
        </w:rPr>
        <w:t>。</w:t>
      </w:r>
      <w:r>
        <w:rPr>
          <w:rFonts w:hint="eastAsia" w:ascii="仿宋_GB2312" w:eastAsia="仿宋_GB2312" w:cs="DengXian-Regular"/>
          <w:sz w:val="32"/>
          <w:szCs w:val="32"/>
          <w:lang w:eastAsia="zh-CN"/>
        </w:rPr>
        <w:t>如图所示：</w:t>
      </w:r>
    </w:p>
    <w:p>
      <w:pPr>
        <w:adjustRightInd w:val="0"/>
        <w:snapToGrid w:val="0"/>
        <w:spacing w:after="0" w:line="580" w:lineRule="exact"/>
        <w:jc w:val="both"/>
        <w:rPr>
          <w:rFonts w:eastAsia="仿宋_GB2312"/>
          <w:sz w:val="32"/>
          <w:szCs w:val="32"/>
        </w:rPr>
      </w:pPr>
      <w:r>
        <w:rPr>
          <w:rFonts w:hint="eastAsia" w:eastAsia="仿宋_GB2312"/>
          <w:sz w:val="32"/>
          <w:szCs w:val="32"/>
        </w:rPr>
        <w:t>图3：财政拨款收支情况</w:t>
      </w:r>
    </w:p>
    <w:p>
      <w:pPr>
        <w:adjustRightInd w:val="0"/>
        <w:snapToGrid w:val="0"/>
        <w:spacing w:after="0" w:line="580" w:lineRule="exact"/>
        <w:jc w:val="both"/>
        <w:rPr>
          <w:rFonts w:eastAsia="仿宋_GB2312"/>
          <w:sz w:val="32"/>
          <w:szCs w:val="32"/>
        </w:rPr>
      </w:pPr>
    </w:p>
    <w:p>
      <w:pPr>
        <w:adjustRightInd w:val="0"/>
        <w:snapToGrid w:val="0"/>
        <w:spacing w:after="0" w:line="580" w:lineRule="exact"/>
        <w:jc w:val="both"/>
        <w:rPr>
          <w:rFonts w:eastAsia="仿宋_GB2312"/>
          <w:sz w:val="32"/>
          <w:szCs w:val="32"/>
        </w:rPr>
      </w:pPr>
    </w:p>
    <w:p>
      <w:pPr>
        <w:adjustRightInd w:val="0"/>
        <w:snapToGrid w:val="0"/>
        <w:spacing w:after="0" w:line="580" w:lineRule="exact"/>
        <w:jc w:val="both"/>
        <w:rPr>
          <w:rFonts w:eastAsia="仿宋_GB2312"/>
          <w:sz w:val="32"/>
          <w:szCs w:val="32"/>
        </w:rPr>
      </w:pPr>
    </w:p>
    <w:p>
      <w:pPr>
        <w:adjustRightInd w:val="0"/>
        <w:snapToGrid w:val="0"/>
        <w:spacing w:after="0" w:line="580" w:lineRule="exact"/>
        <w:jc w:val="both"/>
        <w:rPr>
          <w:rFonts w:eastAsia="仿宋_GB2312"/>
          <w:sz w:val="32"/>
          <w:szCs w:val="32"/>
        </w:rPr>
      </w:pPr>
    </w:p>
    <w:p>
      <w:pPr>
        <w:adjustRightInd w:val="0"/>
        <w:snapToGrid w:val="0"/>
        <w:spacing w:after="0" w:line="580" w:lineRule="exact"/>
        <w:jc w:val="both"/>
        <w:rPr>
          <w:rFonts w:hint="eastAsia" w:eastAsia="仿宋_GB2312"/>
          <w:sz w:val="32"/>
          <w:szCs w:val="32"/>
        </w:rPr>
      </w:pPr>
    </w:p>
    <w:p>
      <w:pPr>
        <w:adjustRightInd w:val="0"/>
        <w:snapToGrid w:val="0"/>
        <w:spacing w:after="0" w:line="580" w:lineRule="exact"/>
        <w:jc w:val="both"/>
        <w:rPr>
          <w:rFonts w:hint="eastAsia" w:eastAsia="仿宋_GB2312"/>
          <w:sz w:val="32"/>
          <w:szCs w:val="32"/>
        </w:rPr>
      </w:pPr>
      <w:r>
        <w:rPr>
          <w:rFonts w:hint="eastAsia" w:ascii="仿宋_GB2312" w:eastAsia="仿宋_GB2312" w:cs="DengXian-Regular"/>
          <w:sz w:val="32"/>
          <w:szCs w:val="32"/>
        </w:rPr>
        <w:drawing>
          <wp:anchor distT="0" distB="0" distL="114300" distR="114300" simplePos="0" relativeHeight="1024" behindDoc="0" locked="0" layoutInCell="1" allowOverlap="1">
            <wp:simplePos x="0" y="0"/>
            <wp:positionH relativeFrom="column">
              <wp:posOffset>220345</wp:posOffset>
            </wp:positionH>
            <wp:positionV relativeFrom="paragraph">
              <wp:posOffset>71755</wp:posOffset>
            </wp:positionV>
            <wp:extent cx="5175250" cy="4170680"/>
            <wp:effectExtent l="0" t="0" r="0" b="0"/>
            <wp:wrapNone/>
            <wp:docPr id="7" name="图表 3"/>
            <wp:cNvGraphicFramePr/>
            <a:graphic xmlns:a="http://schemas.openxmlformats.org/drawingml/2006/main">
              <a:graphicData uri="http://schemas.openxmlformats.org/drawingml/2006/picture">
                <pic:pic xmlns:pic="http://schemas.openxmlformats.org/drawingml/2006/picture">
                  <pic:nvPicPr>
                    <pic:cNvPr id="7" name="图表 3"/>
                    <pic:cNvPicPr/>
                  </pic:nvPicPr>
                  <pic:blipFill>
                    <a:blip r:embed="rId5"/>
                    <a:stretch>
                      <a:fillRect/>
                    </a:stretch>
                  </pic:blipFill>
                  <pic:spPr>
                    <a:xfrm>
                      <a:off x="0" y="0"/>
                      <a:ext cx="5175251" cy="4170680"/>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jc w:val="both"/>
        <w:rPr>
          <w:rFonts w:hint="eastAsia" w:eastAsia="仿宋_GB2312"/>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left="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jc w:val="left"/>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813.42</w:t>
      </w:r>
      <w:r>
        <w:rPr>
          <w:rFonts w:hint="eastAsia" w:ascii="仿宋_GB2312" w:eastAsia="仿宋_GB2312" w:cs="DengXian-Regular"/>
          <w:sz w:val="32"/>
          <w:szCs w:val="32"/>
        </w:rPr>
        <w:t>万元，完成年初预算的100%,比年初预算增加</w:t>
      </w:r>
      <w:r>
        <w:rPr>
          <w:rFonts w:hint="eastAsia" w:ascii="仿宋_GB2312" w:eastAsia="仿宋_GB2312" w:cs="DengXian-Regular"/>
          <w:sz w:val="32"/>
          <w:szCs w:val="32"/>
          <w:lang w:val="en-US" w:eastAsia="zh-CN"/>
        </w:rPr>
        <w:t>137.64</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人员经费增加，项目资金调整。</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789.12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113.34</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人员经费增加，项目资金调整。如图所示：</w:t>
      </w:r>
    </w:p>
    <w:p>
      <w:pPr>
        <w:adjustRightInd w:val="0"/>
        <w:snapToGrid w:val="0"/>
        <w:spacing w:after="0" w:line="580" w:lineRule="exact"/>
        <w:jc w:val="both"/>
        <w:rPr>
          <w:rFonts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both"/>
        <w:rPr>
          <w:rFonts w:eastAsia="仿宋_GB2312"/>
          <w:sz w:val="32"/>
          <w:szCs w:val="32"/>
        </w:rPr>
      </w:pPr>
    </w:p>
    <w:p>
      <w:pPr>
        <w:adjustRightInd w:val="0"/>
        <w:snapToGrid w:val="0"/>
        <w:spacing w:after="0" w:line="580" w:lineRule="exact"/>
        <w:jc w:val="both"/>
        <w:rPr>
          <w:rFonts w:eastAsia="仿宋_GB2312"/>
          <w:sz w:val="32"/>
          <w:szCs w:val="32"/>
        </w:rPr>
      </w:pPr>
    </w:p>
    <w:p>
      <w:pPr>
        <w:adjustRightInd w:val="0"/>
        <w:snapToGrid w:val="0"/>
        <w:spacing w:after="0" w:line="580" w:lineRule="exact"/>
        <w:jc w:val="both"/>
        <w:rPr>
          <w:rFonts w:eastAsia="仿宋_GB2312"/>
          <w:sz w:val="32"/>
          <w:szCs w:val="32"/>
        </w:rPr>
      </w:pPr>
    </w:p>
    <w:p>
      <w:pPr>
        <w:adjustRightInd w:val="0"/>
        <w:snapToGrid w:val="0"/>
        <w:spacing w:after="0" w:line="580" w:lineRule="exact"/>
        <w:jc w:val="both"/>
        <w:rPr>
          <w:rFonts w:eastAsia="仿宋_GB2312"/>
          <w:sz w:val="32"/>
          <w:szCs w:val="32"/>
        </w:rPr>
      </w:pPr>
    </w:p>
    <w:p>
      <w:pPr>
        <w:adjustRightInd w:val="0"/>
        <w:snapToGrid w:val="0"/>
        <w:spacing w:after="0" w:line="580" w:lineRule="exact"/>
        <w:ind w:left="0" w:right="-630" w:firstLine="0"/>
        <w:jc w:val="both"/>
        <w:rPr>
          <w:rFonts w:ascii="仿宋_GB2312" w:eastAsia="仿宋_GB2312" w:cs="DengXian-Regular"/>
          <w:sz w:val="24"/>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1024" behindDoc="0" locked="0" layoutInCell="1" allowOverlap="1">
            <wp:simplePos x="0" y="0"/>
            <wp:positionH relativeFrom="column">
              <wp:posOffset>287020</wp:posOffset>
            </wp:positionH>
            <wp:positionV relativeFrom="paragraph">
              <wp:posOffset>48260</wp:posOffset>
            </wp:positionV>
            <wp:extent cx="5080000" cy="3810000"/>
            <wp:effectExtent l="0" t="0" r="0" b="0"/>
            <wp:wrapNone/>
            <wp:docPr id="10" name="图表 4"/>
            <wp:cNvGraphicFramePr/>
            <a:graphic xmlns:a="http://schemas.openxmlformats.org/drawingml/2006/main">
              <a:graphicData uri="http://schemas.openxmlformats.org/drawingml/2006/picture">
                <pic:pic xmlns:pic="http://schemas.openxmlformats.org/drawingml/2006/picture">
                  <pic:nvPicPr>
                    <pic:cNvPr id="10" name="图表 4"/>
                    <pic:cNvPicPr/>
                  </pic:nvPicPr>
                  <pic:blipFill>
                    <a:blip r:embed="rId6"/>
                    <a:stretch>
                      <a:fillRect/>
                    </a:stretch>
                  </pic:blipFill>
                  <pic:spPr>
                    <a:xfrm>
                      <a:off x="0" y="0"/>
                      <a:ext cx="5079999" cy="3810002"/>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val="en-US" w:eastAsia="zh-CN"/>
        </w:rPr>
      </w:pPr>
      <w:r>
        <w:rPr>
          <w:rFonts w:hint="eastAsia" w:ascii="仿宋_GB2312" w:eastAsia="仿宋_GB2312" w:cs="DengXian-Regular"/>
          <w:sz w:val="32"/>
          <w:szCs w:val="32"/>
        </w:rPr>
        <w:t xml:space="preserve"> 2018年财政拨款收支大于年初预算数的原因为：人员经费增加，项目资金调整。</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val="en-US"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lang w:eastAsia="zh-CN"/>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789.12</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715.39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90.66</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48.58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6.16</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医疗卫生与计划生育支出</w:t>
      </w:r>
      <w:r>
        <w:rPr>
          <w:rFonts w:hint="eastAsia" w:ascii="仿宋_GB2312" w:eastAsia="仿宋_GB2312" w:cs="DengXian-Regular"/>
          <w:sz w:val="32"/>
          <w:szCs w:val="32"/>
          <w:lang w:val="en-US" w:eastAsia="zh-CN"/>
        </w:rPr>
        <w:t>24.14万元，占3.06%；资源勘探信息等支出1万元，占0.12%</w:t>
      </w:r>
      <w:r>
        <w:rPr>
          <w:rFonts w:hint="eastAsia" w:ascii="仿宋_GB2312" w:eastAsia="仿宋_GB2312" w:cs="DengXian-Regular"/>
          <w:sz w:val="32"/>
          <w:szCs w:val="32"/>
        </w:rPr>
        <w:t>。</w:t>
      </w:r>
      <w:r>
        <w:rPr>
          <w:rFonts w:hint="eastAsia" w:ascii="仿宋_GB2312" w:eastAsia="仿宋_GB2312" w:cs="DengXian-Regular"/>
          <w:sz w:val="32"/>
          <w:szCs w:val="32"/>
          <w:lang w:eastAsia="zh-CN"/>
        </w:rPr>
        <w:t>如图所示：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楷体_GB2312" w:eastAsia="楷体_GB2312" w:cs="DengXian-Bold"/>
          <w:b/>
          <w:bCs/>
          <w:sz w:val="32"/>
          <w:szCs w:val="32"/>
        </w:rPr>
      </w:pPr>
      <w:r>
        <w:rPr>
          <w:rFonts w:hint="eastAsia" w:eastAsia="仿宋_GB2312"/>
          <w:sz w:val="32"/>
          <w:szCs w:val="32"/>
        </w:rPr>
        <w:t>图5：财政拨款支出决算结构（按功能分类）</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textAlignment w:val="auto"/>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1024" behindDoc="0" locked="0" layoutInCell="1" allowOverlap="1">
            <wp:simplePos x="0" y="0"/>
            <wp:positionH relativeFrom="column">
              <wp:posOffset>54610</wp:posOffset>
            </wp:positionH>
            <wp:positionV relativeFrom="paragraph">
              <wp:posOffset>13970</wp:posOffset>
            </wp:positionV>
            <wp:extent cx="4459605" cy="3198495"/>
            <wp:effectExtent l="9525" t="9525" r="26670" b="11430"/>
            <wp:wrapNone/>
            <wp:docPr id="13" name="图表 1"/>
            <wp:cNvGraphicFramePr/>
            <a:graphic xmlns:a="http://schemas.openxmlformats.org/drawingml/2006/main">
              <a:graphicData uri="http://schemas.openxmlformats.org/drawingml/2006/picture">
                <pic:pic xmlns:pic="http://schemas.openxmlformats.org/drawingml/2006/picture">
                  <pic:nvPicPr>
                    <pic:cNvPr id="13" name="图表 1"/>
                    <pic:cNvPicPr/>
                  </pic:nvPicPr>
                  <pic:blipFill>
                    <a:blip r:embed="rId7"/>
                    <a:stretch>
                      <a:fillRect/>
                    </a:stretch>
                  </pic:blipFill>
                  <pic:spPr>
                    <a:xfrm>
                      <a:off x="0" y="0"/>
                      <a:ext cx="4459605" cy="3198495"/>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firstLine="643" w:firstLineChars="200"/>
        <w:rPr>
          <w:rFonts w:ascii="楷体_GB2312" w:eastAsia="楷体_GB2312" w:cs="DengXian-Bold"/>
          <w:b/>
          <w:bCs/>
          <w:sz w:val="32"/>
          <w:szCs w:val="32"/>
        </w:rPr>
      </w:pPr>
    </w:p>
    <w:p>
      <w:p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621.55</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537.76</w:t>
      </w:r>
      <w:r>
        <w:rPr>
          <w:rFonts w:hint="eastAsia" w:ascii="仿宋_GB2312" w:eastAsia="仿宋_GB2312" w:cs="DengXian-Regular"/>
          <w:sz w:val="32"/>
          <w:szCs w:val="32"/>
        </w:rPr>
        <w:t>万元，主要包括基本工资</w:t>
      </w:r>
      <w:r>
        <w:rPr>
          <w:rFonts w:hint="eastAsia" w:ascii="仿宋_GB2312" w:eastAsia="仿宋_GB2312" w:cs="DengXian-Regular"/>
          <w:sz w:val="32"/>
          <w:szCs w:val="32"/>
          <w:lang w:val="en-US" w:eastAsia="zh-CN"/>
        </w:rPr>
        <w:t>194.57万元</w:t>
      </w:r>
      <w:r>
        <w:rPr>
          <w:rFonts w:hint="eastAsia" w:ascii="仿宋_GB2312" w:eastAsia="仿宋_GB2312" w:cs="DengXian-Regular"/>
          <w:sz w:val="32"/>
          <w:szCs w:val="32"/>
        </w:rPr>
        <w:t>、津贴补贴</w:t>
      </w:r>
      <w:r>
        <w:rPr>
          <w:rFonts w:hint="eastAsia" w:ascii="仿宋_GB2312" w:eastAsia="仿宋_GB2312" w:cs="DengXian-Regular"/>
          <w:sz w:val="32"/>
          <w:szCs w:val="32"/>
          <w:lang w:val="en-US" w:eastAsia="zh-CN"/>
        </w:rPr>
        <w:t>174.27万元</w:t>
      </w:r>
      <w:r>
        <w:rPr>
          <w:rFonts w:hint="eastAsia" w:ascii="仿宋_GB2312" w:eastAsia="仿宋_GB2312" w:cs="DengXian-Regular"/>
          <w:sz w:val="32"/>
          <w:szCs w:val="32"/>
        </w:rPr>
        <w:t>、奖金</w:t>
      </w:r>
      <w:r>
        <w:rPr>
          <w:rFonts w:hint="eastAsia" w:ascii="仿宋_GB2312" w:eastAsia="仿宋_GB2312" w:cs="DengXian-Regular"/>
          <w:sz w:val="32"/>
          <w:szCs w:val="32"/>
          <w:lang w:val="en-US" w:eastAsia="zh-CN"/>
        </w:rPr>
        <w:t>53.38万元</w:t>
      </w:r>
      <w:r>
        <w:rPr>
          <w:rFonts w:hint="eastAsia" w:ascii="仿宋_GB2312" w:eastAsia="仿宋_GB2312" w:cs="DengXian-Regular"/>
          <w:sz w:val="32"/>
          <w:szCs w:val="32"/>
        </w:rPr>
        <w:t>、伙食补助费、绩效工资</w:t>
      </w:r>
      <w:r>
        <w:rPr>
          <w:rFonts w:hint="eastAsia" w:ascii="仿宋_GB2312" w:eastAsia="仿宋_GB2312" w:cs="DengXian-Regular"/>
          <w:sz w:val="32"/>
          <w:szCs w:val="32"/>
          <w:lang w:eastAsia="zh-CN"/>
        </w:rPr>
        <w:t>、</w:t>
      </w:r>
      <w:r>
        <w:rPr>
          <w:rFonts w:hint="eastAsia" w:ascii="仿宋_GB2312" w:eastAsia="仿宋_GB2312" w:cs="DengXian-Regular"/>
          <w:sz w:val="32"/>
          <w:szCs w:val="32"/>
        </w:rPr>
        <w:t>机关事业单位基本养老保险缴费</w:t>
      </w:r>
      <w:r>
        <w:rPr>
          <w:rFonts w:hint="eastAsia" w:ascii="仿宋_GB2312" w:eastAsia="仿宋_GB2312" w:cs="DengXian-Regular"/>
          <w:sz w:val="32"/>
          <w:szCs w:val="32"/>
          <w:lang w:val="en-US" w:eastAsia="zh-CN"/>
        </w:rPr>
        <w:t>48.58万元</w:t>
      </w:r>
      <w:r>
        <w:rPr>
          <w:rFonts w:hint="eastAsia" w:ascii="仿宋_GB2312" w:eastAsia="仿宋_GB2312" w:cs="DengXian-Regular"/>
          <w:sz w:val="32"/>
          <w:szCs w:val="32"/>
        </w:rPr>
        <w:t>、职业年金缴费、职工基本医疗保险缴费</w:t>
      </w:r>
      <w:r>
        <w:rPr>
          <w:rFonts w:hint="eastAsia" w:ascii="仿宋_GB2312" w:eastAsia="仿宋_GB2312" w:cs="DengXian-Regular"/>
          <w:sz w:val="32"/>
          <w:szCs w:val="32"/>
          <w:lang w:val="en-US" w:eastAsia="zh-CN"/>
        </w:rPr>
        <w:t>24.14万元</w:t>
      </w:r>
      <w:r>
        <w:rPr>
          <w:rFonts w:hint="eastAsia" w:ascii="仿宋_GB2312" w:eastAsia="仿宋_GB2312" w:cs="DengXian-Regular"/>
          <w:sz w:val="32"/>
          <w:szCs w:val="32"/>
        </w:rPr>
        <w:t>、公务员医疗补助缴费、住房公积金、医疗费、其他社会保障缴费</w:t>
      </w:r>
      <w:r>
        <w:rPr>
          <w:rFonts w:hint="eastAsia" w:ascii="仿宋_GB2312" w:eastAsia="仿宋_GB2312" w:cs="DengXian-Regular"/>
          <w:sz w:val="32"/>
          <w:szCs w:val="32"/>
          <w:lang w:val="en-US" w:eastAsia="zh-CN"/>
        </w:rPr>
        <w:t>1.53万元</w:t>
      </w:r>
      <w:r>
        <w:rPr>
          <w:rFonts w:hint="eastAsia" w:ascii="仿宋_GB2312" w:eastAsia="仿宋_GB2312" w:cs="DengXian-Regular"/>
          <w:sz w:val="32"/>
          <w:szCs w:val="32"/>
        </w:rPr>
        <w:t>、其他工资福利支出</w:t>
      </w:r>
      <w:r>
        <w:rPr>
          <w:rFonts w:hint="eastAsia" w:ascii="仿宋_GB2312" w:eastAsia="仿宋_GB2312" w:cs="DengXian-Regular"/>
          <w:sz w:val="32"/>
          <w:szCs w:val="32"/>
          <w:lang w:val="en-US" w:eastAsia="zh-CN"/>
        </w:rPr>
        <w:t>16.24万元</w:t>
      </w:r>
      <w:r>
        <w:rPr>
          <w:rFonts w:hint="eastAsia" w:ascii="仿宋_GB2312" w:eastAsia="仿宋_GB2312" w:cs="DengXian-Regular"/>
          <w:sz w:val="32"/>
          <w:szCs w:val="32"/>
        </w:rPr>
        <w:t>、离休费、退休费、抚恤金、生活补助</w:t>
      </w:r>
      <w:r>
        <w:rPr>
          <w:rFonts w:hint="eastAsia" w:ascii="仿宋_GB2312" w:eastAsia="仿宋_GB2312" w:cs="DengXian-Regular"/>
          <w:sz w:val="32"/>
          <w:szCs w:val="32"/>
          <w:lang w:val="en-US" w:eastAsia="zh-CN"/>
        </w:rPr>
        <w:t>24.65万元</w:t>
      </w:r>
      <w:r>
        <w:rPr>
          <w:rFonts w:hint="eastAsia" w:ascii="仿宋_GB2312" w:eastAsia="仿宋_GB2312" w:cs="DengXian-Regular"/>
          <w:sz w:val="32"/>
          <w:szCs w:val="32"/>
        </w:rPr>
        <w:t>、其他对个人和家庭的补助支出</w:t>
      </w:r>
      <w:r>
        <w:rPr>
          <w:rFonts w:hint="eastAsia" w:ascii="仿宋_GB2312" w:eastAsia="仿宋_GB2312" w:cs="DengXian-Regular"/>
          <w:sz w:val="32"/>
          <w:szCs w:val="32"/>
          <w:lang w:val="en-US" w:eastAsia="zh-CN"/>
        </w:rPr>
        <w:t>0.4万元</w:t>
      </w:r>
      <w:r>
        <w:rPr>
          <w:rFonts w:hint="eastAsia" w:ascii="仿宋_GB2312" w:eastAsia="仿宋_GB2312" w:cs="DengXian-Regular"/>
          <w:sz w:val="32"/>
          <w:szCs w:val="32"/>
        </w:rPr>
        <w:t>等；公用经费</w:t>
      </w:r>
      <w:r>
        <w:rPr>
          <w:rFonts w:hint="eastAsia" w:ascii="仿宋_GB2312" w:eastAsia="仿宋_GB2312" w:cs="DengXian-Regular"/>
          <w:sz w:val="32"/>
          <w:szCs w:val="32"/>
          <w:lang w:val="en-US" w:eastAsia="zh-CN"/>
        </w:rPr>
        <w:t>83.78</w:t>
      </w:r>
      <w:r>
        <w:rPr>
          <w:rFonts w:hint="eastAsia" w:ascii="仿宋_GB2312" w:eastAsia="仿宋_GB2312" w:cs="DengXian-Regular"/>
          <w:sz w:val="32"/>
          <w:szCs w:val="32"/>
        </w:rPr>
        <w:t>万元，主要包括办公费</w:t>
      </w:r>
      <w:r>
        <w:rPr>
          <w:rFonts w:hint="eastAsia" w:ascii="仿宋_GB2312" w:eastAsia="仿宋_GB2312" w:cs="DengXian-Regular"/>
          <w:sz w:val="32"/>
          <w:szCs w:val="32"/>
          <w:lang w:val="en-US" w:eastAsia="zh-CN"/>
        </w:rPr>
        <w:t>5.69万元</w:t>
      </w:r>
      <w:r>
        <w:rPr>
          <w:rFonts w:hint="eastAsia" w:ascii="仿宋_GB2312" w:eastAsia="仿宋_GB2312" w:cs="DengXian-Regular"/>
          <w:sz w:val="32"/>
          <w:szCs w:val="32"/>
        </w:rPr>
        <w:t>、水费</w:t>
      </w:r>
      <w:r>
        <w:rPr>
          <w:rFonts w:hint="eastAsia" w:ascii="仿宋_GB2312" w:eastAsia="仿宋_GB2312" w:cs="DengXian-Regular"/>
          <w:sz w:val="32"/>
          <w:szCs w:val="32"/>
          <w:lang w:val="en-US" w:eastAsia="zh-CN"/>
        </w:rPr>
        <w:t>0.5万元</w:t>
      </w:r>
      <w:r>
        <w:rPr>
          <w:rFonts w:hint="eastAsia" w:ascii="仿宋_GB2312" w:eastAsia="仿宋_GB2312" w:cs="DengXian-Regular"/>
          <w:sz w:val="32"/>
          <w:szCs w:val="32"/>
        </w:rPr>
        <w:t>、电费</w:t>
      </w:r>
      <w:r>
        <w:rPr>
          <w:rFonts w:hint="eastAsia" w:ascii="仿宋_GB2312" w:eastAsia="仿宋_GB2312" w:cs="DengXian-Regular"/>
          <w:sz w:val="32"/>
          <w:szCs w:val="32"/>
          <w:lang w:val="en-US" w:eastAsia="zh-CN"/>
        </w:rPr>
        <w:t>2.54万元</w:t>
      </w:r>
      <w:r>
        <w:rPr>
          <w:rFonts w:hint="eastAsia" w:ascii="仿宋_GB2312" w:eastAsia="仿宋_GB2312" w:cs="DengXian-Regular"/>
          <w:sz w:val="32"/>
          <w:szCs w:val="32"/>
        </w:rPr>
        <w:t>、邮电费</w:t>
      </w:r>
      <w:r>
        <w:rPr>
          <w:rFonts w:hint="eastAsia" w:ascii="仿宋_GB2312" w:eastAsia="仿宋_GB2312" w:cs="DengXian-Regular"/>
          <w:sz w:val="32"/>
          <w:szCs w:val="32"/>
          <w:lang w:val="en-US" w:eastAsia="zh-CN"/>
        </w:rPr>
        <w:t>2.5万元</w:t>
      </w:r>
      <w:r>
        <w:rPr>
          <w:rFonts w:hint="eastAsia" w:ascii="仿宋_GB2312" w:eastAsia="仿宋_GB2312" w:cs="DengXian-Regular"/>
          <w:sz w:val="32"/>
          <w:szCs w:val="32"/>
        </w:rPr>
        <w:t>、取暖费</w:t>
      </w:r>
      <w:r>
        <w:rPr>
          <w:rFonts w:hint="eastAsia" w:ascii="仿宋_GB2312" w:eastAsia="仿宋_GB2312" w:cs="DengXian-Regular"/>
          <w:sz w:val="32"/>
          <w:szCs w:val="32"/>
          <w:lang w:val="en-US" w:eastAsia="zh-CN"/>
        </w:rPr>
        <w:t>5.25万元</w:t>
      </w:r>
      <w:r>
        <w:rPr>
          <w:rFonts w:hint="eastAsia" w:ascii="仿宋_GB2312" w:eastAsia="仿宋_GB2312" w:cs="DengXian-Regular"/>
          <w:sz w:val="32"/>
          <w:szCs w:val="32"/>
        </w:rPr>
        <w:t>、物业管理费、差旅费</w:t>
      </w:r>
      <w:r>
        <w:rPr>
          <w:rFonts w:hint="eastAsia" w:ascii="仿宋_GB2312" w:eastAsia="仿宋_GB2312" w:cs="DengXian-Regular"/>
          <w:sz w:val="32"/>
          <w:szCs w:val="32"/>
          <w:lang w:val="en-US" w:eastAsia="zh-CN"/>
        </w:rPr>
        <w:t>0.71万元</w:t>
      </w:r>
      <w:r>
        <w:rPr>
          <w:rFonts w:hint="eastAsia" w:ascii="仿宋_GB2312" w:eastAsia="仿宋_GB2312" w:cs="DengXian-Regular"/>
          <w:sz w:val="32"/>
          <w:szCs w:val="32"/>
        </w:rPr>
        <w:t>、因公出国（境）费用、维修（护）费</w:t>
      </w:r>
      <w:r>
        <w:rPr>
          <w:rFonts w:hint="eastAsia" w:ascii="仿宋_GB2312" w:eastAsia="仿宋_GB2312" w:cs="DengXian-Regular"/>
          <w:sz w:val="32"/>
          <w:szCs w:val="32"/>
          <w:lang w:val="en-US" w:eastAsia="zh-CN"/>
        </w:rPr>
        <w:t>4万元</w:t>
      </w:r>
      <w:r>
        <w:rPr>
          <w:rFonts w:hint="eastAsia" w:ascii="仿宋_GB2312" w:eastAsia="仿宋_GB2312" w:cs="DengXian-Regular"/>
          <w:sz w:val="32"/>
          <w:szCs w:val="32"/>
        </w:rPr>
        <w:t>、租赁费、会议费、培训费、公务接待费、专用材料费、劳务费</w:t>
      </w:r>
      <w:r>
        <w:rPr>
          <w:rFonts w:hint="eastAsia" w:ascii="仿宋_GB2312" w:eastAsia="仿宋_GB2312" w:cs="DengXian-Regular"/>
          <w:sz w:val="32"/>
          <w:szCs w:val="32"/>
          <w:lang w:val="en-US" w:eastAsia="zh-CN"/>
        </w:rPr>
        <w:t>39.96万元</w:t>
      </w:r>
      <w:r>
        <w:rPr>
          <w:rFonts w:hint="eastAsia" w:ascii="仿宋_GB2312" w:eastAsia="仿宋_GB2312" w:cs="DengXian-Regular"/>
          <w:sz w:val="32"/>
          <w:szCs w:val="32"/>
        </w:rPr>
        <w:t>、委托业务费、工会经费、福利费、公务用车运行维护费、其他交通费用</w:t>
      </w:r>
      <w:r>
        <w:rPr>
          <w:rFonts w:hint="eastAsia" w:ascii="仿宋_GB2312" w:eastAsia="仿宋_GB2312" w:cs="DengXian-Regular"/>
          <w:sz w:val="32"/>
          <w:szCs w:val="32"/>
          <w:lang w:val="en-US" w:eastAsia="zh-CN"/>
        </w:rPr>
        <w:t>22.14万元</w:t>
      </w:r>
      <w:r>
        <w:rPr>
          <w:rFonts w:hint="eastAsia" w:ascii="仿宋_GB2312" w:eastAsia="仿宋_GB2312" w:cs="DengXian-Regular"/>
          <w:sz w:val="32"/>
          <w:szCs w:val="32"/>
        </w:rPr>
        <w:t>、税金及附加费用、其他商品和服务支出</w:t>
      </w:r>
      <w:r>
        <w:rPr>
          <w:rFonts w:hint="eastAsia" w:ascii="仿宋_GB2312" w:eastAsia="仿宋_GB2312" w:cs="DengXian-Regular"/>
          <w:sz w:val="32"/>
          <w:szCs w:val="32"/>
          <w:lang w:val="en-US" w:eastAsia="zh-CN"/>
        </w:rPr>
        <w:t>0.5万元、</w:t>
      </w:r>
      <w:r>
        <w:rPr>
          <w:rFonts w:hint="eastAsia" w:ascii="仿宋_GB2312" w:eastAsia="仿宋_GB2312" w:cs="DengXian-Regular"/>
          <w:sz w:val="32"/>
          <w:szCs w:val="32"/>
        </w:rPr>
        <w:t>办公设备购置、专用设备购置、信息网络及软件购置更新、公务用车购置、其他资本性支出等。</w:t>
      </w:r>
    </w:p>
    <w:p>
      <w:pPr>
        <w:pStyle w:val="3"/>
        <w:spacing w:before="0" w:after="0" w:line="580" w:lineRule="exact"/>
        <w:ind w:left="0"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17.92</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4.08</w:t>
      </w:r>
      <w:r>
        <w:rPr>
          <w:rFonts w:eastAsia="仿宋_GB2312"/>
          <w:sz w:val="32"/>
          <w:szCs w:val="32"/>
        </w:rPr>
        <w:t>万元，降低</w:t>
      </w:r>
      <w:r>
        <w:rPr>
          <w:rFonts w:hint="eastAsia" w:eastAsia="仿宋_GB2312"/>
          <w:sz w:val="32"/>
          <w:szCs w:val="32"/>
          <w:lang w:val="en-US" w:eastAsia="zh-CN"/>
        </w:rPr>
        <w:t>18.55</w:t>
      </w:r>
      <w:r>
        <w:rPr>
          <w:rFonts w:eastAsia="仿宋_GB2312"/>
          <w:sz w:val="32"/>
          <w:szCs w:val="32"/>
        </w:rPr>
        <w:t>%，主要是</w:t>
      </w:r>
      <w:r>
        <w:rPr>
          <w:rFonts w:hint="eastAsia" w:ascii="仿宋_GB2312" w:eastAsia="仿宋_GB2312" w:cs="DengXian-Regular"/>
          <w:sz w:val="32"/>
          <w:szCs w:val="32"/>
          <w:lang w:eastAsia="zh-CN"/>
        </w:rPr>
        <w:t>严格控制规范使用公车，厉行节约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6.89</w:t>
      </w:r>
      <w:r>
        <w:rPr>
          <w:rFonts w:eastAsia="仿宋_GB2312"/>
          <w:sz w:val="32"/>
          <w:szCs w:val="32"/>
        </w:rPr>
        <w:t>万元，增长</w:t>
      </w:r>
      <w:r>
        <w:rPr>
          <w:rFonts w:hint="eastAsia" w:eastAsia="仿宋_GB2312"/>
          <w:sz w:val="32"/>
          <w:szCs w:val="32"/>
          <w:lang w:val="en-US" w:eastAsia="zh-CN"/>
        </w:rPr>
        <w:t>62.46</w:t>
      </w:r>
      <w:r>
        <w:rPr>
          <w:rFonts w:eastAsia="仿宋_GB2312"/>
          <w:sz w:val="32"/>
          <w:szCs w:val="32"/>
        </w:rPr>
        <w:t>%，主要是</w:t>
      </w:r>
      <w:r>
        <w:rPr>
          <w:rFonts w:hint="eastAsia" w:eastAsia="仿宋_GB2312"/>
          <w:sz w:val="32"/>
          <w:szCs w:val="32"/>
          <w:lang w:eastAsia="zh-CN"/>
        </w:rPr>
        <w:t>普法下乡、走访调查社区服刑人员次数增加</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eastAsia="仿宋_GB2312"/>
          <w:sz w:val="32"/>
          <w:szCs w:val="32"/>
          <w:lang w:eastAsia="zh-CN"/>
        </w:rPr>
        <w:t>未发生</w:t>
      </w:r>
      <w:r>
        <w:rPr>
          <w:rFonts w:hint="eastAsia" w:ascii="仿宋_GB2312" w:eastAsia="仿宋_GB2312" w:cs="DengXian-Regular"/>
          <w:sz w:val="32"/>
          <w:szCs w:val="32"/>
          <w:lang w:eastAsia="zh-CN"/>
        </w:rPr>
        <w:t>因公出国（境）费用</w:t>
      </w:r>
      <w:r>
        <w:rPr>
          <w:rFonts w:eastAsia="仿宋_GB2312"/>
          <w:sz w:val="32"/>
          <w:szCs w:val="32"/>
        </w:rPr>
        <w:t>。</w:t>
      </w:r>
      <w:r>
        <w:rPr>
          <w:rFonts w:hint="eastAsia" w:eastAsia="仿宋_GB2312"/>
          <w:sz w:val="32"/>
          <w:szCs w:val="32"/>
        </w:rPr>
        <w:t>较2017年无增减变化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17.92</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4.08</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18.55</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严格控制规范使用公车，厉行节约</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6.89</w:t>
      </w:r>
      <w:r>
        <w:rPr>
          <w:rFonts w:eastAsia="仿宋_GB2312"/>
          <w:sz w:val="32"/>
          <w:szCs w:val="32"/>
        </w:rPr>
        <w:t>万元，增长</w:t>
      </w:r>
      <w:r>
        <w:rPr>
          <w:rFonts w:hint="eastAsia" w:eastAsia="仿宋_GB2312"/>
          <w:sz w:val="32"/>
          <w:szCs w:val="32"/>
          <w:lang w:val="en-US" w:eastAsia="zh-CN"/>
        </w:rPr>
        <w:t>62.46</w:t>
      </w:r>
      <w:r>
        <w:rPr>
          <w:rFonts w:eastAsia="仿宋_GB2312"/>
          <w:sz w:val="32"/>
          <w:szCs w:val="32"/>
        </w:rPr>
        <w:t>%，主要是</w:t>
      </w:r>
      <w:r>
        <w:rPr>
          <w:rFonts w:hint="eastAsia" w:eastAsia="仿宋_GB2312"/>
          <w:sz w:val="32"/>
          <w:szCs w:val="32"/>
          <w:lang w:eastAsia="zh-CN"/>
        </w:rPr>
        <w:t>普法下乡、走访调查社区服刑人员次数增加。</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eastAsia="仿宋_GB2312"/>
          <w:sz w:val="32"/>
          <w:szCs w:val="32"/>
          <w:lang w:eastAsia="zh-CN"/>
        </w:rPr>
        <w:t>未发生购置</w:t>
      </w:r>
      <w:r>
        <w:rPr>
          <w:rFonts w:eastAsia="仿宋_GB2312"/>
          <w:sz w:val="32"/>
          <w:szCs w:val="32"/>
        </w:rPr>
        <w:t>公务用车</w:t>
      </w:r>
      <w:r>
        <w:rPr>
          <w:rFonts w:hint="eastAsia" w:eastAsia="仿宋_GB2312"/>
          <w:sz w:val="32"/>
          <w:szCs w:val="32"/>
          <w:lang w:eastAsia="zh-CN"/>
        </w:rPr>
        <w:t>此类支出</w:t>
      </w:r>
      <w:r>
        <w:rPr>
          <w:rFonts w:eastAsia="仿宋_GB2312"/>
          <w:sz w:val="32"/>
          <w:szCs w:val="32"/>
        </w:rPr>
        <w:t>。</w:t>
      </w:r>
      <w:r>
        <w:rPr>
          <w:rFonts w:hint="eastAsia" w:eastAsia="仿宋_GB2312"/>
          <w:sz w:val="32"/>
          <w:szCs w:val="32"/>
        </w:rPr>
        <w:t>较2017年无增减变化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17.92</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9</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4.08</w:t>
      </w:r>
      <w:r>
        <w:rPr>
          <w:rFonts w:eastAsia="仿宋_GB2312"/>
          <w:sz w:val="32"/>
          <w:szCs w:val="32"/>
        </w:rPr>
        <w:t>万元，降低</w:t>
      </w:r>
      <w:r>
        <w:rPr>
          <w:rFonts w:hint="eastAsia" w:eastAsia="仿宋_GB2312"/>
          <w:sz w:val="32"/>
          <w:szCs w:val="32"/>
          <w:lang w:val="en-US" w:eastAsia="zh-CN"/>
        </w:rPr>
        <w:t>18.55</w:t>
      </w:r>
      <w:r>
        <w:rPr>
          <w:rFonts w:eastAsia="仿宋_GB2312"/>
          <w:sz w:val="32"/>
          <w:szCs w:val="32"/>
        </w:rPr>
        <w:t>%，主要是</w:t>
      </w:r>
      <w:r>
        <w:rPr>
          <w:rFonts w:hint="eastAsia" w:ascii="仿宋_GB2312" w:eastAsia="仿宋_GB2312" w:cs="DengXian-Regular"/>
          <w:sz w:val="32"/>
          <w:szCs w:val="32"/>
          <w:lang w:eastAsia="zh-CN"/>
        </w:rPr>
        <w:t>严格控制规范使用公车，厉行节约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6.89</w:t>
      </w:r>
      <w:r>
        <w:rPr>
          <w:rFonts w:eastAsia="仿宋_GB2312"/>
          <w:sz w:val="32"/>
          <w:szCs w:val="32"/>
        </w:rPr>
        <w:t>万元，增长</w:t>
      </w:r>
      <w:r>
        <w:rPr>
          <w:rFonts w:hint="eastAsia" w:eastAsia="仿宋_GB2312"/>
          <w:sz w:val="32"/>
          <w:szCs w:val="32"/>
          <w:lang w:val="en-US" w:eastAsia="zh-CN"/>
        </w:rPr>
        <w:t>62.46</w:t>
      </w:r>
      <w:r>
        <w:rPr>
          <w:rFonts w:eastAsia="仿宋_GB2312"/>
          <w:sz w:val="32"/>
          <w:szCs w:val="32"/>
        </w:rPr>
        <w:t>%，主要是</w:t>
      </w:r>
      <w:r>
        <w:rPr>
          <w:rFonts w:hint="eastAsia" w:eastAsia="仿宋_GB2312"/>
          <w:sz w:val="32"/>
          <w:szCs w:val="32"/>
          <w:lang w:eastAsia="zh-CN"/>
        </w:rPr>
        <w:t>普法下乡、走访调查社区服刑人员次数增加</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eastAsia="仿宋_GB2312"/>
          <w:sz w:val="32"/>
          <w:szCs w:val="32"/>
          <w:lang w:eastAsia="zh-CN"/>
        </w:rPr>
        <w:t>未发生</w:t>
      </w:r>
      <w:r>
        <w:rPr>
          <w:rFonts w:eastAsia="仿宋_GB2312"/>
          <w:sz w:val="32"/>
          <w:szCs w:val="32"/>
        </w:rPr>
        <w:t>公务接待</w:t>
      </w:r>
      <w:r>
        <w:rPr>
          <w:rFonts w:hint="eastAsia" w:eastAsia="仿宋_GB2312"/>
          <w:sz w:val="32"/>
          <w:szCs w:val="32"/>
          <w:lang w:eastAsia="zh-CN"/>
        </w:rPr>
        <w:t>此类支出</w:t>
      </w:r>
      <w:r>
        <w:rPr>
          <w:rFonts w:eastAsia="仿宋_GB2312"/>
          <w:sz w:val="32"/>
          <w:szCs w:val="32"/>
        </w:rPr>
        <w:t>。</w:t>
      </w:r>
      <w:r>
        <w:rPr>
          <w:rFonts w:hint="eastAsia" w:eastAsia="仿宋_GB2312"/>
          <w:sz w:val="32"/>
          <w:szCs w:val="32"/>
        </w:rPr>
        <w:t>较2017年无增减变化</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jc w:val="left"/>
        <w:rPr>
          <w:rFonts w:ascii="Calibri" w:hAnsi="Calibri" w:eastAsia="仿宋_GB2312"/>
          <w:sz w:val="32"/>
          <w:szCs w:val="32"/>
        </w:rPr>
      </w:pPr>
      <w:r>
        <w:rPr>
          <w:rFonts w:hint="eastAsia" w:ascii="Calibri" w:hAnsi="Calibri" w:eastAsia="仿宋_GB2312"/>
          <w:sz w:val="32"/>
          <w:szCs w:val="32"/>
        </w:rPr>
        <w:t>一是绩效评价管理机制不断完善。加强了绩效评价管理与财政资金监管、财政监督检查工作的相互融合，绩效评价在预算分配、预算执行、结果应用的全过程管理机制不断完善。二是绩效管理理念逐步建立。绩效评价工作的开展，特别是绩效评价结果的应用，有利于全面提高财政资金使用的效果。</w:t>
      </w:r>
    </w:p>
    <w:p>
      <w:pPr>
        <w:numPr>
          <w:ilvl w:val="0"/>
          <w:numId w:val="1"/>
        </w:numPr>
        <w:adjustRightInd w:val="0"/>
        <w:snapToGrid w:val="0"/>
        <w:spacing w:after="0" w:line="580" w:lineRule="exact"/>
        <w:ind w:left="0"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after="0" w:line="580" w:lineRule="exact"/>
        <w:ind w:firstLine="640"/>
        <w:rPr>
          <w:rFonts w:ascii="Calibri" w:hAnsi="Calibri" w:eastAsia="仿宋_GB2312"/>
          <w:sz w:val="32"/>
          <w:szCs w:val="32"/>
        </w:rPr>
      </w:pPr>
      <w:r>
        <w:rPr>
          <w:rFonts w:hint="eastAsia" w:ascii="Calibri" w:hAnsi="Calibri" w:eastAsia="仿宋_GB2312"/>
          <w:sz w:val="32"/>
          <w:szCs w:val="32"/>
        </w:rPr>
        <w:t>通过评价，一是增强了财政支出绩效管理观念，促进财政资金分配和使用更加科学有效，提高财政资金使用效益和效率；二是强化绩效评价结果的运用，将预算绩效评价结果作为下一年度预算编制的参考依据，将部门预算编制和预算绩效管理相结合，使预算绩效管理和预算编制更加规范化。</w:t>
      </w:r>
    </w:p>
    <w:p>
      <w:pPr>
        <w:numPr>
          <w:ilvl w:val="0"/>
          <w:numId w:val="1"/>
        </w:numPr>
        <w:adjustRightInd w:val="0"/>
        <w:snapToGrid w:val="0"/>
        <w:spacing w:after="0" w:line="580" w:lineRule="exact"/>
        <w:ind w:left="0" w:firstLine="640" w:firstLine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ind w:firstLine="640" w:firstLineChars="200"/>
        <w:jc w:val="left"/>
        <w:rPr>
          <w:rFonts w:ascii="Calibri" w:hAnsi="Calibri" w:eastAsia="仿宋_GB2312"/>
          <w:sz w:val="32"/>
          <w:szCs w:val="32"/>
        </w:rPr>
      </w:pPr>
      <w:r>
        <w:rPr>
          <w:rFonts w:hint="eastAsia" w:ascii="Calibri" w:hAnsi="Calibri" w:eastAsia="仿宋_GB2312"/>
          <w:sz w:val="32"/>
          <w:szCs w:val="32"/>
        </w:rPr>
        <w:t>评价结果看，我单位能较好地完成项目，取得良好的社会效益，资金管理完善，达到预期的效益目标。</w:t>
      </w:r>
    </w:p>
    <w:p>
      <w:pPr>
        <w:jc w:val="left"/>
        <w:outlineLvl w:val="0"/>
        <w:rPr>
          <w:rFonts w:hint="eastAsia" w:ascii="仿宋_GB2312" w:eastAsia="仿宋_GB2312" w:cs="仿宋_GB2312"/>
          <w:b/>
          <w:sz w:val="32"/>
          <w:szCs w:val="32"/>
        </w:rPr>
      </w:pPr>
      <w:r>
        <w:rPr>
          <w:rFonts w:hint="eastAsia" w:ascii="仿宋_GB2312" w:eastAsia="仿宋_GB2312" w:cs="仿宋_GB2312"/>
          <w:b/>
          <w:sz w:val="32"/>
          <w:szCs w:val="32"/>
        </w:rPr>
        <w:t>部门职责及工作活动绩效目标指标：</w:t>
      </w:r>
    </w:p>
    <w:p>
      <w:pPr>
        <w:jc w:val="center"/>
        <w:outlineLvl w:val="0"/>
        <w:rPr>
          <w:rFonts w:hint="eastAsia" w:ascii="仿宋_GB2312" w:eastAsia="仿宋_GB2312" w:cs="仿宋_GB2312"/>
          <w:sz w:val="32"/>
          <w:szCs w:val="32"/>
        </w:rPr>
      </w:pPr>
      <w:bookmarkStart w:id="0" w:name="_Toc508804302"/>
      <w:r>
        <w:rPr>
          <w:rFonts w:hint="eastAsia" w:ascii="仿宋_GB2312" w:eastAsia="仿宋_GB2312" w:cs="仿宋_GB2312"/>
          <w:sz w:val="32"/>
          <w:szCs w:val="32"/>
        </w:rPr>
        <w:t>部门职责-工作活动绩效目标</w:t>
      </w:r>
      <w:bookmarkEnd w:id="0"/>
    </w:p>
    <w:tbl>
      <w:tblPr>
        <w:tblStyle w:val="13"/>
        <w:tblW w:w="1151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8"/>
        <w:gridCol w:w="954"/>
        <w:gridCol w:w="2343"/>
        <w:gridCol w:w="1302"/>
        <w:gridCol w:w="1913"/>
        <w:gridCol w:w="694"/>
        <w:gridCol w:w="780"/>
        <w:gridCol w:w="1202"/>
        <w:gridCol w:w="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atLeast"/>
          <w:tblHeader/>
          <w:jc w:val="center"/>
        </w:trPr>
        <w:tc>
          <w:tcPr>
            <w:tcW w:w="8230" w:type="dxa"/>
            <w:gridSpan w:val="5"/>
            <w:tcBorders>
              <w:top w:val="single" w:color="FFFFFF" w:sz="6" w:space="0"/>
              <w:left w:val="single" w:color="FFFFFF" w:sz="6" w:space="0"/>
              <w:right w:val="single" w:color="FFFFFF" w:sz="6" w:space="0"/>
            </w:tcBorders>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315大城县司法局</w:t>
            </w:r>
          </w:p>
        </w:tc>
        <w:tc>
          <w:tcPr>
            <w:tcW w:w="3289"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宋体" w:eastAsia="宋体" w:cs="宋体"/>
                <w:sz w:val="24"/>
                <w:szCs w:val="24"/>
              </w:rPr>
            </w:pPr>
            <w:r>
              <w:rPr>
                <w:rFonts w:hint="eastAsia" w:ascii="宋体" w:eastAsia="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atLeast"/>
          <w:tblHeader/>
          <w:jc w:val="center"/>
        </w:trPr>
        <w:tc>
          <w:tcPr>
            <w:tcW w:w="1718" w:type="dxa"/>
            <w:vMerge w:val="restart"/>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职责活动</w:t>
            </w:r>
          </w:p>
        </w:tc>
        <w:tc>
          <w:tcPr>
            <w:tcW w:w="954" w:type="dxa"/>
            <w:vMerge w:val="restart"/>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年度预算数</w:t>
            </w:r>
          </w:p>
        </w:tc>
        <w:tc>
          <w:tcPr>
            <w:tcW w:w="2343" w:type="dxa"/>
            <w:vMerge w:val="restart"/>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内容描述</w:t>
            </w:r>
          </w:p>
        </w:tc>
        <w:tc>
          <w:tcPr>
            <w:tcW w:w="1302" w:type="dxa"/>
            <w:vMerge w:val="restart"/>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绩效目标</w:t>
            </w:r>
          </w:p>
        </w:tc>
        <w:tc>
          <w:tcPr>
            <w:tcW w:w="1913" w:type="dxa"/>
            <w:vMerge w:val="restart"/>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绩效指标</w:t>
            </w:r>
          </w:p>
        </w:tc>
        <w:tc>
          <w:tcPr>
            <w:tcW w:w="3289" w:type="dxa"/>
            <w:gridSpan w:val="4"/>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atLeast"/>
          <w:tblHeader/>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Merge w:val="continue"/>
            <w:vAlign w:val="center"/>
          </w:tcPr>
          <w:p/>
        </w:tc>
        <w:tc>
          <w:tcPr>
            <w:tcW w:w="694" w:type="dxa"/>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优</w:t>
            </w:r>
          </w:p>
        </w:tc>
        <w:tc>
          <w:tcPr>
            <w:tcW w:w="780" w:type="dxa"/>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良</w:t>
            </w:r>
          </w:p>
        </w:tc>
        <w:tc>
          <w:tcPr>
            <w:tcW w:w="1202" w:type="dxa"/>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中</w:t>
            </w:r>
          </w:p>
        </w:tc>
        <w:tc>
          <w:tcPr>
            <w:tcW w:w="613" w:type="dxa"/>
            <w:vAlign w:val="center"/>
          </w:tcPr>
          <w:p>
            <w:pPr>
              <w:spacing w:line="300" w:lineRule="exact"/>
              <w:jc w:val="center"/>
              <w:rPr>
                <w:rFonts w:hint="eastAsia" w:ascii="宋体" w:eastAsia="宋体" w:cs="宋体"/>
                <w:b/>
                <w:sz w:val="24"/>
                <w:szCs w:val="24"/>
              </w:rPr>
            </w:pPr>
            <w:r>
              <w:rPr>
                <w:rFonts w:hint="eastAsia" w:ascii="宋体" w:eastAsia="宋体" w:cs="宋体"/>
                <w:b/>
                <w:sz w:val="24"/>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93" w:hRule="atLeast"/>
          <w:jc w:val="center"/>
        </w:trPr>
        <w:tc>
          <w:tcPr>
            <w:tcW w:w="1718" w:type="dxa"/>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一、司法行政管理</w:t>
            </w:r>
          </w:p>
        </w:tc>
        <w:tc>
          <w:tcPr>
            <w:tcW w:w="954"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46.46</w:t>
            </w:r>
          </w:p>
        </w:tc>
        <w:tc>
          <w:tcPr>
            <w:tcW w:w="234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贯彻落实国家司法行政工作方针政策；拟订有关规章，制定全县司法行政中长期规划并组织实施。</w:t>
            </w:r>
          </w:p>
        </w:tc>
        <w:tc>
          <w:tcPr>
            <w:tcW w:w="1302"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提升全县司法行政管理水平</w:t>
            </w:r>
          </w:p>
        </w:tc>
        <w:tc>
          <w:tcPr>
            <w:tcW w:w="1913" w:type="dxa"/>
            <w:vAlign w:val="center"/>
          </w:tcPr>
          <w:p>
            <w:pPr>
              <w:spacing w:line="300" w:lineRule="exact"/>
              <w:jc w:val="left"/>
              <w:rPr>
                <w:rFonts w:hint="eastAsia" w:ascii="宋体" w:eastAsia="宋体" w:cs="宋体"/>
                <w:sz w:val="24"/>
                <w:szCs w:val="24"/>
              </w:rPr>
            </w:pPr>
          </w:p>
        </w:tc>
        <w:tc>
          <w:tcPr>
            <w:tcW w:w="694" w:type="dxa"/>
            <w:vAlign w:val="center"/>
          </w:tcPr>
          <w:p>
            <w:pPr>
              <w:spacing w:line="300" w:lineRule="exact"/>
              <w:jc w:val="center"/>
              <w:rPr>
                <w:rFonts w:hint="eastAsia" w:ascii="宋体" w:eastAsia="宋体" w:cs="宋体"/>
                <w:sz w:val="24"/>
                <w:szCs w:val="24"/>
              </w:rPr>
            </w:pPr>
          </w:p>
        </w:tc>
        <w:tc>
          <w:tcPr>
            <w:tcW w:w="780" w:type="dxa"/>
            <w:vAlign w:val="center"/>
          </w:tcPr>
          <w:p>
            <w:pPr>
              <w:spacing w:line="300" w:lineRule="exact"/>
              <w:jc w:val="center"/>
              <w:rPr>
                <w:rFonts w:hint="eastAsia" w:ascii="宋体" w:eastAsia="宋体" w:cs="宋体"/>
                <w:sz w:val="24"/>
                <w:szCs w:val="24"/>
              </w:rPr>
            </w:pPr>
          </w:p>
        </w:tc>
        <w:tc>
          <w:tcPr>
            <w:tcW w:w="1202" w:type="dxa"/>
            <w:vAlign w:val="center"/>
          </w:tcPr>
          <w:p>
            <w:pPr>
              <w:spacing w:line="300" w:lineRule="exact"/>
              <w:jc w:val="center"/>
              <w:rPr>
                <w:rFonts w:hint="eastAsia" w:ascii="宋体" w:eastAsia="宋体" w:cs="宋体"/>
                <w:sz w:val="24"/>
                <w:szCs w:val="24"/>
              </w:rPr>
            </w:pPr>
          </w:p>
        </w:tc>
        <w:tc>
          <w:tcPr>
            <w:tcW w:w="613" w:type="dxa"/>
            <w:vAlign w:val="center"/>
          </w:tcPr>
          <w:p>
            <w:pPr>
              <w:spacing w:line="300" w:lineRule="exact"/>
              <w:jc w:val="center"/>
              <w:rPr>
                <w:rFonts w:hint="eastAsia" w:asci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1、普法宣传</w:t>
            </w:r>
          </w:p>
        </w:tc>
        <w:tc>
          <w:tcPr>
            <w:tcW w:w="954"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3.50</w:t>
            </w:r>
          </w:p>
        </w:tc>
        <w:tc>
          <w:tcPr>
            <w:tcW w:w="2343"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拟订全县法制宣传教育规划并组织实施；开展全县法制宣传、依法治理工作；开展法制宣传报道；组织全县司法宣传和新闻发布；承担县法制教育领导小组办公室工作。</w:t>
            </w:r>
          </w:p>
        </w:tc>
        <w:tc>
          <w:tcPr>
            <w:tcW w:w="1302"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提高全县人民法律意识和法律素质，增强法治化管理水平，促进全县民主与法制建设。</w:t>
            </w: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组织主题宣传活动场次(次）</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200次</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150次</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100次</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普法考核通过率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网络舆情处置率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宣传资料印刷册数（册）</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20000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15000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10000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普法考核覆盖人数</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70%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网络舆情预警数量</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网络舆情分析报告数量</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2、律师公证管理</w:t>
            </w:r>
          </w:p>
        </w:tc>
        <w:tc>
          <w:tcPr>
            <w:tcW w:w="954"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1.06</w:t>
            </w:r>
          </w:p>
        </w:tc>
        <w:tc>
          <w:tcPr>
            <w:tcW w:w="2343"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开展律师公证工作并承担相应责任。</w:t>
            </w:r>
          </w:p>
        </w:tc>
        <w:tc>
          <w:tcPr>
            <w:tcW w:w="1302"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充分发挥法律服务职能，规范律师、公证行业管理。</w:t>
            </w: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提供法律咨询数量（宗）</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70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年检机构满意率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机构年检率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99%</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96%</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93%</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3、基层司法业务</w:t>
            </w:r>
          </w:p>
        </w:tc>
        <w:tc>
          <w:tcPr>
            <w:tcW w:w="954"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9.60</w:t>
            </w:r>
          </w:p>
        </w:tc>
        <w:tc>
          <w:tcPr>
            <w:tcW w:w="2343"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负责全县社区矫正、人民调解、安置帮教、基层法律服务和基层司法所工作；会同人民法院指导人民陪审员工作；指导人民调解员协会工作；承担县安置帮教办公室、县社区矫正办公室的日常工作；</w:t>
            </w:r>
          </w:p>
        </w:tc>
        <w:tc>
          <w:tcPr>
            <w:tcW w:w="1302"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深化人民调解、社区矫正和安置帮教工作，最大限度降低重新违法犯罪和社会不稳定因素发生率</w:t>
            </w: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人民调解案件数（件）</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4000件</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3000件</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2000件</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再犯罪减低率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0.20%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0.25%</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0.30%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社区矫正人数（人）</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400人</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350人</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300人</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200人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安置帮教人数（人次）</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400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350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300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服刑人员信息核查率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70%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4、法律援助</w:t>
            </w:r>
          </w:p>
        </w:tc>
        <w:tc>
          <w:tcPr>
            <w:tcW w:w="954"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30.00</w:t>
            </w:r>
          </w:p>
        </w:tc>
        <w:tc>
          <w:tcPr>
            <w:tcW w:w="2343"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落实法律援助的法律法规和政策的执行；规划法律援助事业发展；管理县法律援助机构和法律援助从业人员；组织指导全县社会组织和志愿者开展法律援助工作；办理法律援助案件，政府购买法律援助服务；管理“12348”法律援助专线；组织实施全县中央专项彩票公益金项目，开展法律援助理论研究等工作。</w:t>
            </w:r>
          </w:p>
        </w:tc>
        <w:tc>
          <w:tcPr>
            <w:tcW w:w="1302"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扩大法律援助覆盖面，推动全县法律援助工作长足发展。</w:t>
            </w: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法律援助案件办结率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97%</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94%</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印刷法律援助宣传资料(册）</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30000册</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20000册</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10000册</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5000册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11"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法律援助案件受理数（件）</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200件</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150件</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100件</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5、司法鉴定</w:t>
            </w:r>
          </w:p>
        </w:tc>
        <w:tc>
          <w:tcPr>
            <w:tcW w:w="954"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2.30</w:t>
            </w:r>
          </w:p>
        </w:tc>
        <w:tc>
          <w:tcPr>
            <w:tcW w:w="2343"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拟定全县司法鉴定管理规定和技术规范；完成全县司法鉴定人和司法鉴定机构登记管理工作；负责县级司法鉴定机构的管理工作；开展面向社会的司法鉴定资质管理、质量管理和司法鉴定人继续教育培训。</w:t>
            </w:r>
          </w:p>
        </w:tc>
        <w:tc>
          <w:tcPr>
            <w:tcW w:w="1302" w:type="dxa"/>
            <w:vMerge w:val="restart"/>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规范司法鉴定机构和司法鉴定人的管理，提高司法鉴定人员素质，促进司法鉴定的公正、公平。</w:t>
            </w: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司法鉴定机构年检率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98%</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39"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司法鉴定人培训人次</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80%</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70%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92" w:hRule="atLeast"/>
          <w:jc w:val="center"/>
        </w:trPr>
        <w:tc>
          <w:tcPr>
            <w:tcW w:w="1718" w:type="dxa"/>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二、司法政务管理</w:t>
            </w:r>
          </w:p>
        </w:tc>
        <w:tc>
          <w:tcPr>
            <w:tcW w:w="954"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116.91</w:t>
            </w:r>
          </w:p>
        </w:tc>
        <w:tc>
          <w:tcPr>
            <w:tcW w:w="234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负责机关综合业务管理和机关直属事业单位综合事务管理。</w:t>
            </w:r>
          </w:p>
        </w:tc>
        <w:tc>
          <w:tcPr>
            <w:tcW w:w="1302"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促进司法系统执法能力全面提升</w:t>
            </w:r>
          </w:p>
        </w:tc>
        <w:tc>
          <w:tcPr>
            <w:tcW w:w="1913" w:type="dxa"/>
            <w:vAlign w:val="center"/>
          </w:tcPr>
          <w:p>
            <w:pPr>
              <w:spacing w:line="300" w:lineRule="exact"/>
              <w:jc w:val="left"/>
              <w:rPr>
                <w:rFonts w:hint="eastAsia" w:ascii="宋体" w:eastAsia="宋体" w:cs="宋体"/>
                <w:sz w:val="24"/>
                <w:szCs w:val="24"/>
              </w:rPr>
            </w:pPr>
          </w:p>
        </w:tc>
        <w:tc>
          <w:tcPr>
            <w:tcW w:w="694" w:type="dxa"/>
            <w:vAlign w:val="center"/>
          </w:tcPr>
          <w:p>
            <w:pPr>
              <w:spacing w:line="300" w:lineRule="exact"/>
              <w:jc w:val="center"/>
              <w:rPr>
                <w:rFonts w:hint="eastAsia" w:ascii="宋体" w:eastAsia="宋体" w:cs="宋体"/>
                <w:sz w:val="24"/>
                <w:szCs w:val="24"/>
              </w:rPr>
            </w:pPr>
          </w:p>
        </w:tc>
        <w:tc>
          <w:tcPr>
            <w:tcW w:w="780" w:type="dxa"/>
            <w:vAlign w:val="center"/>
          </w:tcPr>
          <w:p>
            <w:pPr>
              <w:spacing w:line="300" w:lineRule="exact"/>
              <w:jc w:val="center"/>
              <w:rPr>
                <w:rFonts w:hint="eastAsia" w:ascii="宋体" w:eastAsia="宋体" w:cs="宋体"/>
                <w:sz w:val="24"/>
                <w:szCs w:val="24"/>
              </w:rPr>
            </w:pPr>
          </w:p>
        </w:tc>
        <w:tc>
          <w:tcPr>
            <w:tcW w:w="1202" w:type="dxa"/>
            <w:vAlign w:val="center"/>
          </w:tcPr>
          <w:p>
            <w:pPr>
              <w:spacing w:line="300" w:lineRule="exact"/>
              <w:jc w:val="center"/>
              <w:rPr>
                <w:rFonts w:hint="eastAsia" w:ascii="宋体" w:eastAsia="宋体" w:cs="宋体"/>
                <w:sz w:val="24"/>
                <w:szCs w:val="24"/>
              </w:rPr>
            </w:pPr>
          </w:p>
        </w:tc>
        <w:tc>
          <w:tcPr>
            <w:tcW w:w="613" w:type="dxa"/>
            <w:vAlign w:val="center"/>
          </w:tcPr>
          <w:p>
            <w:pPr>
              <w:spacing w:line="300" w:lineRule="exact"/>
              <w:jc w:val="center"/>
              <w:rPr>
                <w:rFonts w:hint="eastAsia" w:asci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31" w:hRule="atLeast"/>
          <w:jc w:val="center"/>
        </w:trPr>
        <w:tc>
          <w:tcPr>
            <w:tcW w:w="1718" w:type="dxa"/>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1、综合业务管理</w:t>
            </w:r>
          </w:p>
        </w:tc>
        <w:tc>
          <w:tcPr>
            <w:tcW w:w="954"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81.11</w:t>
            </w:r>
          </w:p>
        </w:tc>
        <w:tc>
          <w:tcPr>
            <w:tcW w:w="234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负责系统物资装备管理；指导监督系统计划财务工作及队伍建设；负责系统警务管理和警务督察工作。</w:t>
            </w:r>
          </w:p>
        </w:tc>
        <w:tc>
          <w:tcPr>
            <w:tcW w:w="1302"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加强纪检审计监督、信息化建设等，促进司法行政系统各项事业健康发展。</w:t>
            </w: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综合业务管理工作完成率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64" w:hRule="atLeast"/>
          <w:jc w:val="center"/>
        </w:trPr>
        <w:tc>
          <w:tcPr>
            <w:tcW w:w="1718" w:type="dxa"/>
            <w:vAlign w:val="center"/>
          </w:tcPr>
          <w:p>
            <w:pPr>
              <w:spacing w:line="300" w:lineRule="exact"/>
              <w:jc w:val="left"/>
              <w:rPr>
                <w:rFonts w:hint="eastAsia" w:ascii="宋体" w:eastAsia="宋体" w:cs="宋体"/>
                <w:b/>
                <w:sz w:val="24"/>
                <w:szCs w:val="24"/>
              </w:rPr>
            </w:pPr>
            <w:r>
              <w:rPr>
                <w:rFonts w:hint="eastAsia" w:ascii="宋体" w:eastAsia="宋体" w:cs="宋体"/>
                <w:b/>
                <w:sz w:val="24"/>
                <w:szCs w:val="24"/>
              </w:rPr>
              <w:t>2、综合政务管理</w:t>
            </w:r>
          </w:p>
        </w:tc>
        <w:tc>
          <w:tcPr>
            <w:tcW w:w="954"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35.80</w:t>
            </w:r>
          </w:p>
        </w:tc>
        <w:tc>
          <w:tcPr>
            <w:tcW w:w="234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负责机关和直属事业单位经济财务等活动的内部审计监督；承办县政府交办的其他事项。</w:t>
            </w:r>
          </w:p>
        </w:tc>
        <w:tc>
          <w:tcPr>
            <w:tcW w:w="1302"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加强机关后勤保障，确保正常办公化境需要</w:t>
            </w:r>
          </w:p>
        </w:tc>
        <w:tc>
          <w:tcPr>
            <w:tcW w:w="1913" w:type="dxa"/>
            <w:vAlign w:val="center"/>
          </w:tcPr>
          <w:p>
            <w:pPr>
              <w:spacing w:line="300" w:lineRule="exact"/>
              <w:jc w:val="left"/>
              <w:rPr>
                <w:rFonts w:hint="eastAsia" w:ascii="宋体" w:eastAsia="宋体" w:cs="宋体"/>
                <w:sz w:val="24"/>
                <w:szCs w:val="24"/>
              </w:rPr>
            </w:pPr>
            <w:r>
              <w:rPr>
                <w:rFonts w:hint="eastAsia" w:ascii="宋体" w:eastAsia="宋体" w:cs="宋体"/>
                <w:sz w:val="24"/>
                <w:szCs w:val="24"/>
              </w:rPr>
              <w:t>综合事务工作完成率</w:t>
            </w:r>
          </w:p>
        </w:tc>
        <w:tc>
          <w:tcPr>
            <w:tcW w:w="694"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100%</w:t>
            </w:r>
          </w:p>
        </w:tc>
        <w:tc>
          <w:tcPr>
            <w:tcW w:w="780"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95%</w:t>
            </w:r>
          </w:p>
        </w:tc>
        <w:tc>
          <w:tcPr>
            <w:tcW w:w="1202"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90%</w:t>
            </w:r>
          </w:p>
        </w:tc>
        <w:tc>
          <w:tcPr>
            <w:tcW w:w="613" w:type="dxa"/>
            <w:vAlign w:val="center"/>
          </w:tcPr>
          <w:p>
            <w:pPr>
              <w:spacing w:line="300" w:lineRule="exact"/>
              <w:jc w:val="center"/>
              <w:rPr>
                <w:rFonts w:hint="eastAsia" w:ascii="宋体" w:eastAsia="宋体" w:cs="宋体"/>
                <w:sz w:val="24"/>
                <w:szCs w:val="24"/>
              </w:rPr>
            </w:pPr>
            <w:r>
              <w:rPr>
                <w:rFonts w:hint="eastAsia" w:ascii="宋体" w:eastAsia="宋体" w:cs="宋体"/>
                <w:sz w:val="24"/>
                <w:szCs w:val="24"/>
              </w:rPr>
              <w:t>85%</w:t>
            </w:r>
          </w:p>
        </w:tc>
      </w:tr>
    </w:tbl>
    <w:p>
      <w:pPr>
        <w:jc w:val="center"/>
        <w:outlineLvl w:val="0"/>
        <w:rPr>
          <w:rFonts w:ascii="方正小标宋_GBK" w:eastAsia="方正小标宋_GBK"/>
          <w:sz w:val="32"/>
        </w:rPr>
      </w:pPr>
    </w:p>
    <w:p>
      <w:pPr>
        <w:jc w:val="center"/>
        <w:outlineLvl w:val="0"/>
        <w:rPr>
          <w:rFonts w:ascii="方正小标宋_GBK" w:eastAsia="方正小标宋_GBK"/>
          <w:sz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83.78</w:t>
      </w:r>
      <w:r>
        <w:rPr>
          <w:rFonts w:hint="eastAsia" w:ascii="仿宋_GB2312" w:eastAsia="仿宋_GB2312" w:cs="DengXian-Regular"/>
          <w:sz w:val="32"/>
          <w:szCs w:val="32"/>
        </w:rPr>
        <w:t>万元，比年初预算数增加</w:t>
      </w:r>
      <w:r>
        <w:rPr>
          <w:rFonts w:eastAsia="仿宋_GB2312"/>
          <w:sz w:val="32"/>
          <w:szCs w:val="32"/>
        </w:rPr>
        <w:t xml:space="preserve"> </w:t>
      </w:r>
      <w:r>
        <w:rPr>
          <w:rFonts w:hint="eastAsia" w:eastAsia="仿宋_GB2312"/>
          <w:sz w:val="32"/>
          <w:szCs w:val="32"/>
          <w:lang w:val="en-US" w:eastAsia="zh-CN"/>
        </w:rPr>
        <w:t>33.55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66.79</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增加司法辅警人员劳务费的</w:t>
      </w:r>
      <w:r>
        <w:rPr>
          <w:rFonts w:hint="eastAsia" w:ascii="仿宋_GB2312" w:eastAsia="仿宋_GB2312" w:cs="DengXian-Regular"/>
          <w:sz w:val="32"/>
          <w:szCs w:val="32"/>
          <w:lang w:val="en-US" w:eastAsia="zh-CN"/>
        </w:rPr>
        <w:t>支出</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44.41</w:t>
      </w:r>
      <w:r>
        <w:rPr>
          <w:rFonts w:eastAsia="仿宋_GB2312"/>
          <w:sz w:val="32"/>
          <w:szCs w:val="32"/>
        </w:rPr>
        <w:t>万元，增长</w:t>
      </w:r>
      <w:r>
        <w:rPr>
          <w:rFonts w:hint="eastAsia" w:eastAsia="仿宋_GB2312"/>
          <w:sz w:val="32"/>
          <w:szCs w:val="32"/>
          <w:lang w:val="en-US" w:eastAsia="zh-CN"/>
        </w:rPr>
        <w:t>112.8</w:t>
      </w:r>
      <w:r>
        <w:rPr>
          <w:rFonts w:eastAsia="仿宋_GB2312"/>
          <w:sz w:val="32"/>
          <w:szCs w:val="32"/>
        </w:rPr>
        <w:t>%，主要是</w:t>
      </w:r>
      <w:r>
        <w:rPr>
          <w:rFonts w:hint="eastAsia" w:ascii="仿宋_GB2312" w:eastAsia="仿宋_GB2312" w:cs="DengXian-Regular"/>
          <w:sz w:val="32"/>
          <w:szCs w:val="32"/>
          <w:lang w:eastAsia="zh-CN"/>
        </w:rPr>
        <w:t>增加司法辅警人员劳务费的</w:t>
      </w:r>
      <w:r>
        <w:rPr>
          <w:rFonts w:hint="eastAsia" w:ascii="仿宋_GB2312" w:eastAsia="仿宋_GB2312" w:cs="DengXian-Regular"/>
          <w:sz w:val="32"/>
          <w:szCs w:val="32"/>
          <w:lang w:val="en-US" w:eastAsia="zh-CN"/>
        </w:rPr>
        <w:t>支出</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7.98</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7.98</w:t>
      </w:r>
      <w:r>
        <w:rPr>
          <w:rFonts w:ascii="仿宋_GB2312" w:eastAsia="仿宋_GB2312" w:cs="仿宋_GB2312"/>
          <w:color w:val="000000"/>
          <w:kern w:val="0"/>
          <w:sz w:val="32"/>
          <w:szCs w:val="32"/>
        </w:rPr>
        <w:t>万元、</w:t>
      </w:r>
      <w:r>
        <w:rPr>
          <w:rFonts w:hint="eastAsia" w:ascii="仿宋_GB2312" w:eastAsia="仿宋_GB2312" w:cs="仿宋_GB2312"/>
          <w:color w:val="000000"/>
          <w:kern w:val="0"/>
          <w:sz w:val="32"/>
          <w:szCs w:val="32"/>
          <w:lang w:eastAsia="zh-CN"/>
        </w:rPr>
        <w:t>未发生</w:t>
      </w:r>
      <w:r>
        <w:rPr>
          <w:rFonts w:ascii="仿宋_GB2312" w:eastAsia="仿宋_GB2312" w:cs="仿宋_GB2312"/>
          <w:color w:val="000000"/>
          <w:kern w:val="0"/>
          <w:sz w:val="32"/>
          <w:szCs w:val="32"/>
        </w:rPr>
        <w:t>政府采购工程</w:t>
      </w:r>
      <w:r>
        <w:rPr>
          <w:rFonts w:hint="eastAsia" w:ascii="仿宋_GB2312" w:eastAsia="仿宋_GB2312" w:cs="仿宋_GB2312"/>
          <w:color w:val="000000"/>
          <w:kern w:val="0"/>
          <w:sz w:val="32"/>
          <w:szCs w:val="32"/>
          <w:lang w:eastAsia="zh-CN"/>
        </w:rPr>
        <w:t>此类</w:t>
      </w:r>
      <w:r>
        <w:rPr>
          <w:rFonts w:ascii="仿宋_GB2312" w:eastAsia="仿宋_GB2312" w:cs="仿宋_GB2312"/>
          <w:color w:val="000000"/>
          <w:kern w:val="0"/>
          <w:sz w:val="32"/>
          <w:szCs w:val="32"/>
        </w:rPr>
        <w:t>支出、</w:t>
      </w:r>
      <w:r>
        <w:rPr>
          <w:rFonts w:hint="eastAsia" w:ascii="仿宋_GB2312" w:eastAsia="仿宋_GB2312" w:cs="仿宋_GB2312"/>
          <w:color w:val="000000"/>
          <w:kern w:val="0"/>
          <w:sz w:val="32"/>
          <w:szCs w:val="32"/>
          <w:lang w:eastAsia="zh-CN"/>
        </w:rPr>
        <w:t>未发生</w:t>
      </w:r>
      <w:r>
        <w:rPr>
          <w:rFonts w:ascii="仿宋_GB2312" w:eastAsia="仿宋_GB2312" w:cs="仿宋_GB2312"/>
          <w:color w:val="000000"/>
          <w:kern w:val="0"/>
          <w:sz w:val="32"/>
          <w:szCs w:val="32"/>
        </w:rPr>
        <w:t>政府采购服务</w:t>
      </w:r>
      <w:r>
        <w:rPr>
          <w:rFonts w:hint="eastAsia" w:ascii="仿宋_GB2312" w:eastAsia="仿宋_GB2312" w:cs="仿宋_GB2312"/>
          <w:color w:val="000000"/>
          <w:kern w:val="0"/>
          <w:sz w:val="32"/>
          <w:szCs w:val="32"/>
          <w:lang w:eastAsia="zh-CN"/>
        </w:rPr>
        <w:t>此类</w:t>
      </w:r>
      <w:r>
        <w:rPr>
          <w:rFonts w:ascii="仿宋_GB2312" w:eastAsia="仿宋_GB2312" w:cs="仿宋_GB2312"/>
          <w:color w:val="000000"/>
          <w:kern w:val="0"/>
          <w:sz w:val="32"/>
          <w:szCs w:val="32"/>
        </w:rPr>
        <w:t>支出。</w:t>
      </w:r>
      <w:r>
        <w:rPr>
          <w:rFonts w:hint="eastAsia" w:ascii="仿宋_GB2312" w:eastAsia="仿宋_GB2312" w:cs="仿宋_GB2312"/>
          <w:color w:val="000000"/>
          <w:kern w:val="0"/>
          <w:sz w:val="32"/>
          <w:szCs w:val="32"/>
          <w:lang w:eastAsia="zh-CN"/>
        </w:rPr>
        <w:t>未发生</w:t>
      </w:r>
      <w:r>
        <w:rPr>
          <w:rFonts w:ascii="仿宋_GB2312" w:eastAsia="仿宋_GB2312" w:cs="仿宋_GB2312"/>
          <w:color w:val="000000"/>
          <w:kern w:val="0"/>
          <w:sz w:val="32"/>
          <w:szCs w:val="32"/>
        </w:rPr>
        <w:t>授予中小企业合同金</w:t>
      </w:r>
      <w:r>
        <w:rPr>
          <w:rFonts w:hint="eastAsia" w:ascii="仿宋_GB2312" w:eastAsia="仿宋_GB2312" w:cs="仿宋_GB2312"/>
          <w:color w:val="000000"/>
          <w:kern w:val="0"/>
          <w:sz w:val="32"/>
          <w:szCs w:val="32"/>
          <w:lang w:eastAsia="zh-CN"/>
        </w:rPr>
        <w:t>此类支出。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辆，较上年无增减变化。其中执法执勤用车</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1、本部门2018年度结转资金</w:t>
      </w:r>
      <w:r>
        <w:rPr>
          <w:rFonts w:hint="eastAsia" w:ascii="宋体" w:cs="宋体"/>
          <w:sz w:val="32"/>
          <w:szCs w:val="32"/>
        </w:rPr>
        <w:t>4.4</w:t>
      </w:r>
      <w:r>
        <w:rPr>
          <w:rFonts w:hint="eastAsia" w:ascii="仿宋_GB2312" w:eastAsia="仿宋_GB2312" w:cs="DengXian-Regular"/>
          <w:sz w:val="32"/>
          <w:szCs w:val="32"/>
        </w:rPr>
        <w:t>6万元。结转资金为人员增资结转及部分项目资金。</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t>本部门2018年度</w:t>
      </w:r>
      <w:r>
        <w:rPr>
          <w:rFonts w:hint="eastAsia" w:ascii="仿宋_GB2312" w:eastAsia="仿宋_GB2312" w:cs="DengXian-Regular"/>
          <w:sz w:val="32"/>
          <w:szCs w:val="32"/>
          <w:lang w:eastAsia="zh-CN"/>
        </w:rPr>
        <w:t>政府基金预算财政拨款收入支出和国有资本经营预算财政拨款支出</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eastAsia="zh-CN"/>
        </w:rPr>
        <w:t>公开表</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lang w:eastAsia="zh-CN"/>
        </w:rPr>
        <w:t>政府基金预算财政拨款收入支出决算表和公开表</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lang w:eastAsia="zh-CN"/>
        </w:rPr>
        <w:t>国有资本经营预算财政拨款支出决算</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eastAsia="宋体" w:cs="MS-UIGothic,Bold"/>
          <w:b/>
          <w:bCs/>
          <w:kern w:val="0"/>
          <w:sz w:val="44"/>
          <w:szCs w:val="44"/>
        </w:rPr>
        <w:sectPr>
          <w:pgSz w:w="11907" w:h="16840"/>
          <w:pgMar w:top="720" w:right="720" w:bottom="720" w:left="720"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1588" w:right="2098" w:bottom="1474" w:left="1984" w:header="851" w:footer="992" w:gutter="0"/>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1588" w:right="2098" w:bottom="1474" w:left="1985"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ambria">
    <w:altName w:val="Shruti"/>
    <w:panose1 w:val="02040503050406030204"/>
    <w:charset w:val="00"/>
    <w:family w:val="roman"/>
    <w:pitch w:val="default"/>
    <w:sig w:usb0="00000000" w:usb1="00000000" w:usb2="00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Batang"/>
    <w:panose1 w:val="00000000000000000000"/>
    <w:charset w:val="81"/>
    <w:family w:val="auto"/>
    <w:pitch w:val="default"/>
    <w:sig w:usb0="00000000" w:usb1="00000000" w:usb2="00000010" w:usb3="00000000" w:csb0="00080001" w:csb1="00000000"/>
  </w:font>
  <w:font w:name="MS-UIGothic,Bold">
    <w:altName w:val="Batang"/>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3096"/>
    <w:multiLevelType w:val="singleLevel"/>
    <w:tmpl w:val="5DBE3096"/>
    <w:lvl w:ilvl="0" w:tentative="0">
      <w:start w:val="2"/>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rsids>
    <w:rsidRoot w:val="00000000"/>
    <w:rsid w:val="2B7F0CC3"/>
    <w:rsid w:val="30D93B21"/>
    <w:rsid w:val="36E0727C"/>
    <w:rsid w:val="37E434A0"/>
    <w:rsid w:val="448B5F87"/>
    <w:rsid w:val="57E44A05"/>
    <w:rsid w:val="5ADE4C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4">
    <w:name w:val="Default Paragraph Fon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qFormat/>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rPr>
  </w:style>
  <w:style w:type="paragraph" w:styleId="12">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A2C23"/>
      <w:spacing w:val="5"/>
      <w:kern w:val="28"/>
      <w:sz w:val="52"/>
      <w:szCs w:val="52"/>
    </w:rPr>
  </w:style>
  <w:style w:type="paragraph" w:customStyle="1" w:styleId="15">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uiPriority w:val="0"/>
    <w:rPr>
      <w:rFonts w:ascii="Cambria" w:hAnsi="Cambria" w:eastAsia="黑体" w:cs="Times New Roman"/>
      <w:sz w:val="22"/>
      <w:szCs w:val="22"/>
      <w:lang w:eastAsia="zh-CN"/>
    </w:rPr>
  </w:style>
  <w:style w:type="character" w:customStyle="1" w:styleId="17">
    <w:name w:val="Style2"/>
    <w:basedOn w:val="14"/>
    <w:uiPriority w:val="0"/>
    <w:rPr>
      <w:rFonts w:ascii="Cambria" w:hAnsi="Cambria" w:eastAsia="黑体" w:cs="Times New Roman"/>
      <w:sz w:val="22"/>
      <w:szCs w:val="22"/>
      <w:lang w:eastAsia="zh-CN"/>
    </w:rPr>
  </w:style>
  <w:style w:type="character" w:customStyle="1" w:styleId="18">
    <w:name w:val="Style3"/>
    <w:basedOn w:val="14"/>
    <w:qFormat/>
    <w:uiPriority w:val="0"/>
    <w:rPr>
      <w:rFonts w:ascii="Cambria" w:hAnsi="Cambria" w:eastAsia="黑体" w:cs="Times New Roman"/>
      <w:szCs w:val="22"/>
      <w:lang w:eastAsia="zh-CN"/>
    </w:rPr>
  </w:style>
  <w:style w:type="character" w:customStyle="1" w:styleId="19">
    <w:name w:val="Style4"/>
    <w:basedOn w:val="14"/>
    <w:uiPriority w:val="0"/>
    <w:rPr>
      <w:rFonts w:ascii="Cambria" w:hAnsi="Cambria" w:eastAsia="黑体" w:cs="Times New Roman"/>
      <w:szCs w:val="22"/>
      <w:lang w:eastAsia="zh-CN"/>
    </w:rPr>
  </w:style>
  <w:style w:type="character" w:customStyle="1" w:styleId="20">
    <w:name w:val="Style5"/>
    <w:basedOn w:val="14"/>
    <w:uiPriority w:val="0"/>
    <w:rPr>
      <w:rFonts w:ascii="Cambria" w:hAnsi="Cambria" w:eastAsia="黑体" w:cs="Times New Roman"/>
      <w:sz w:val="22"/>
      <w:szCs w:val="22"/>
      <w:lang w:eastAsia="zh-CN"/>
    </w:rPr>
  </w:style>
  <w:style w:type="paragraph" w:customStyle="1" w:styleId="2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Pages>
  <Words>1243</Words>
  <Characters>1482</Characters>
  <Lines>298</Lines>
  <Paragraphs>159</Paragraphs>
  <TotalTime>7</TotalTime>
  <ScaleCrop>false</ScaleCrop>
  <LinksUpToDate>false</LinksUpToDate>
  <CharactersWithSpaces>1496</CharactersWithSpaces>
  <Application>WPS Office_11.1.0.9098_F1E327BC-269C-435d-A152-05C5408002CA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子寒</cp:lastModifiedBy>
  <cp:lastPrinted>2019-11-04T06:55:00Z</cp:lastPrinted>
  <dcterms:modified xsi:type="dcterms:W3CDTF">2019-11-06T07:26:03Z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