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大城县住房和城乡建设局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大城县住房和城乡建设局</w:t>
      </w:r>
      <w:r>
        <w:rPr>
          <w:rFonts w:eastAsia="黑体"/>
          <w:sz w:val="32"/>
          <w:szCs w:val="32"/>
        </w:rPr>
        <w:t>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大城县住房和城乡建设局</w:t>
      </w:r>
      <w:r>
        <w:rPr>
          <w:rFonts w:eastAsia="黑体"/>
          <w:sz w:val="32"/>
          <w:szCs w:val="32"/>
        </w:rPr>
        <w:t>201</w:t>
      </w:r>
      <w:r>
        <w:rPr>
          <w:rFonts w:hint="eastAsia" w:eastAsia="黑体"/>
          <w:sz w:val="32"/>
          <w:szCs w:val="32"/>
        </w:rPr>
        <w:t>8</w:t>
      </w:r>
      <w:r>
        <w:rPr>
          <w:rFonts w:eastAsia="黑体"/>
          <w:sz w:val="32"/>
          <w:szCs w:val="32"/>
        </w:rPr>
        <w:t>年度</w:t>
      </w:r>
      <w:r>
        <w:rPr>
          <w:rFonts w:hint="eastAsia" w:eastAsia="黑体"/>
          <w:sz w:val="32"/>
          <w:szCs w:val="32"/>
        </w:rPr>
        <w:t>部门</w:t>
      </w:r>
      <w:r>
        <w:rPr>
          <w:rFonts w:eastAsia="黑体"/>
          <w:sz w:val="32"/>
          <w:szCs w:val="32"/>
        </w:rPr>
        <w:t>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大城县住房和城乡建设局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pStyle w:val="6"/>
        <w:spacing w:line="240" w:lineRule="auto"/>
        <w:rPr>
          <w:rFonts w:hint="eastAsia" w:ascii="仿宋_GB2312" w:hAnsi="宋体" w:eastAsia="仿宋_GB2312"/>
          <w:szCs w:val="32"/>
        </w:rPr>
      </w:pPr>
      <w:r>
        <w:rPr>
          <w:rFonts w:hint="eastAsia" w:ascii="仿宋_GB2312" w:hAnsi="宋体" w:eastAsia="仿宋_GB2312"/>
          <w:szCs w:val="32"/>
        </w:rPr>
        <w:t>（一）贯彻执行国家、省、市有关工程建设、城市建设、村镇建设等方面的方针、政策、法律法规；研究、起草、制定和组织实施我县相关地方性规章。</w:t>
      </w:r>
    </w:p>
    <w:p>
      <w:pPr>
        <w:pStyle w:val="6"/>
        <w:spacing w:line="240" w:lineRule="auto"/>
        <w:rPr>
          <w:rFonts w:hint="eastAsia" w:ascii="仿宋_GB2312" w:hAnsi="宋体" w:eastAsia="仿宋_GB2312"/>
          <w:szCs w:val="32"/>
        </w:rPr>
      </w:pPr>
      <w:r>
        <w:rPr>
          <w:rFonts w:hint="eastAsia" w:ascii="仿宋_GB2312" w:hAnsi="宋体" w:eastAsia="仿宋_GB2312"/>
          <w:szCs w:val="32"/>
        </w:rPr>
        <w:t>（二）负责工程建设管理工作，监督工程建设程序执行；管理监督工程建设、勘察设计、监理、施工的招标投标工作；综合管理工程监理工作；指导、规范和综合管理全县建筑市场；负责工程勘察设计、建筑施工、建筑安装、建筑装饰的行业管理；负责城建档案的管理；协助有关部门拟订建设工期定额、工程造价、投资结算指标；组织协调建筑企业参与域外或国际工程承包、建筑劳务合作。</w:t>
      </w:r>
    </w:p>
    <w:p>
      <w:pPr>
        <w:pStyle w:val="6"/>
        <w:spacing w:line="240" w:lineRule="auto"/>
        <w:rPr>
          <w:rFonts w:hint="eastAsia" w:ascii="仿宋_GB2312" w:hAnsi="宋体" w:eastAsia="仿宋_GB2312"/>
          <w:szCs w:val="32"/>
        </w:rPr>
      </w:pPr>
      <w:r>
        <w:rPr>
          <w:rFonts w:hint="eastAsia" w:ascii="仿宋_GB2312" w:hAnsi="宋体" w:eastAsia="仿宋_GB2312"/>
          <w:szCs w:val="32"/>
        </w:rPr>
        <w:t>（三）指导全县城镇和村庄的建设工作，做好农村危房改造工作。</w:t>
      </w:r>
    </w:p>
    <w:p>
      <w:pPr>
        <w:pStyle w:val="6"/>
        <w:spacing w:line="240" w:lineRule="auto"/>
        <w:rPr>
          <w:rFonts w:hint="eastAsia" w:ascii="仿宋_GB2312" w:hAnsi="宋体" w:eastAsia="仿宋_GB2312"/>
          <w:szCs w:val="32"/>
        </w:rPr>
      </w:pPr>
      <w:r>
        <w:rPr>
          <w:rFonts w:hint="eastAsia" w:ascii="仿宋_GB2312" w:hAnsi="宋体" w:eastAsia="仿宋_GB2312"/>
          <w:szCs w:val="32"/>
        </w:rPr>
        <w:t>（四）承担建筑工程质量安全监管的责任；落实建筑工程质量、建筑安全生产和竣工验收备案的政策、规章制度并监督执行；组织或参与工程重大质量、安全事故的调查处理。</w:t>
      </w:r>
    </w:p>
    <w:p>
      <w:pPr>
        <w:pStyle w:val="6"/>
        <w:spacing w:line="240" w:lineRule="auto"/>
        <w:rPr>
          <w:rFonts w:hint="eastAsia" w:ascii="仿宋_GB2312" w:hAnsi="宋体" w:eastAsia="仿宋_GB2312"/>
          <w:szCs w:val="32"/>
        </w:rPr>
      </w:pPr>
      <w:r>
        <w:rPr>
          <w:rFonts w:hint="eastAsia" w:ascii="仿宋_GB2312" w:hAnsi="宋体" w:eastAsia="仿宋_GB2312"/>
          <w:szCs w:val="32"/>
        </w:rPr>
        <w:t>（五）负责管理全县建筑节能技术引进和创新工作；会同有关部门落实建筑节能的政策、规划并监督实施。</w:t>
      </w:r>
    </w:p>
    <w:p>
      <w:pPr>
        <w:pStyle w:val="6"/>
        <w:spacing w:line="240" w:lineRule="auto"/>
        <w:rPr>
          <w:rFonts w:hint="eastAsia" w:ascii="仿宋_GB2312" w:hAnsi="宋体" w:eastAsia="仿宋_GB2312"/>
          <w:szCs w:val="32"/>
        </w:rPr>
      </w:pPr>
      <w:r>
        <w:rPr>
          <w:rFonts w:hint="eastAsia" w:ascii="仿宋_GB2312" w:hAnsi="宋体" w:eastAsia="仿宋_GB2312"/>
          <w:szCs w:val="32"/>
        </w:rPr>
        <w:t>（六）负责县城区平房片区改造的业务指导工作。</w:t>
      </w:r>
    </w:p>
    <w:p>
      <w:pPr>
        <w:pStyle w:val="6"/>
        <w:spacing w:line="240" w:lineRule="auto"/>
        <w:rPr>
          <w:rFonts w:hint="eastAsia" w:ascii="仿宋_GB2312" w:hAnsi="宋体" w:eastAsia="仿宋_GB2312"/>
          <w:szCs w:val="32"/>
        </w:rPr>
      </w:pPr>
      <w:r>
        <w:rPr>
          <w:rFonts w:hint="eastAsia" w:ascii="仿宋_GB2312" w:hAnsi="宋体" w:eastAsia="仿宋_GB2312"/>
          <w:szCs w:val="32"/>
        </w:rPr>
        <w:t>（七）负责全县建设工程标准定额、工程造价、工程招标投标的监管工作。</w:t>
      </w:r>
    </w:p>
    <w:p>
      <w:pPr>
        <w:pStyle w:val="6"/>
        <w:spacing w:line="240" w:lineRule="auto"/>
        <w:rPr>
          <w:rFonts w:hint="eastAsia" w:ascii="仿宋_GB2312" w:hAnsi="宋体" w:eastAsia="仿宋_GB2312"/>
          <w:szCs w:val="32"/>
        </w:rPr>
      </w:pPr>
      <w:r>
        <w:rPr>
          <w:rFonts w:hint="eastAsia" w:ascii="仿宋_GB2312" w:hAnsi="宋体" w:eastAsia="仿宋_GB2312"/>
          <w:szCs w:val="32"/>
        </w:rPr>
        <w:t>（八）负责地震预测预报及首都圈防震减灾示范区系统工程。</w:t>
      </w:r>
    </w:p>
    <w:p>
      <w:pPr>
        <w:pStyle w:val="6"/>
        <w:spacing w:line="240" w:lineRule="auto"/>
        <w:rPr>
          <w:rFonts w:hint="eastAsia" w:ascii="仿宋_GB2312" w:hAnsi="宋体" w:eastAsia="仿宋_GB2312"/>
          <w:szCs w:val="32"/>
        </w:rPr>
      </w:pPr>
      <w:r>
        <w:rPr>
          <w:rFonts w:hint="eastAsia" w:ascii="仿宋_GB2312" w:hAnsi="宋体" w:eastAsia="仿宋_GB2312"/>
          <w:szCs w:val="32"/>
        </w:rPr>
        <w:t>（九）承办县政府交办的其他事项。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4"/>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大城县住房和城乡建设局</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37499.98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28.20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12.62</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23924.77</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4851.17</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1048.33</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541.50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37499.98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30411.59</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2677.28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9765.67</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40177.26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40177.26</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10595" w:type="dxa"/>
        <w:jc w:val="center"/>
        <w:tblInd w:w="0" w:type="dxa"/>
        <w:tblLayout w:type="fixed"/>
        <w:tblCellMar>
          <w:top w:w="0" w:type="dxa"/>
          <w:left w:w="0" w:type="dxa"/>
          <w:bottom w:w="0" w:type="dxa"/>
          <w:right w:w="0" w:type="dxa"/>
        </w:tblCellMar>
      </w:tblPr>
      <w:tblGrid>
        <w:gridCol w:w="335"/>
        <w:gridCol w:w="179"/>
        <w:gridCol w:w="520"/>
        <w:gridCol w:w="3387"/>
        <w:gridCol w:w="90"/>
        <w:gridCol w:w="815"/>
        <w:gridCol w:w="1060"/>
        <w:gridCol w:w="714"/>
        <w:gridCol w:w="570"/>
        <w:gridCol w:w="441"/>
        <w:gridCol w:w="90"/>
        <w:gridCol w:w="579"/>
        <w:gridCol w:w="675"/>
        <w:gridCol w:w="971"/>
        <w:gridCol w:w="169"/>
      </w:tblGrid>
      <w:tr>
        <w:tblPrEx>
          <w:tblLayout w:type="fixed"/>
          <w:tblCellMar>
            <w:top w:w="0" w:type="dxa"/>
            <w:left w:w="0" w:type="dxa"/>
            <w:bottom w:w="0" w:type="dxa"/>
            <w:right w:w="0" w:type="dxa"/>
          </w:tblCellMar>
        </w:tblPrEx>
        <w:trPr>
          <w:gridAfter w:val="2"/>
          <w:wAfter w:w="1140" w:type="dxa"/>
          <w:trHeight w:val="79" w:hRule="atLeast"/>
          <w:jc w:val="center"/>
        </w:trPr>
        <w:tc>
          <w:tcPr>
            <w:tcW w:w="9455" w:type="dxa"/>
            <w:gridSpan w:val="13"/>
            <w:tcBorders>
              <w:top w:val="nil"/>
              <w:left w:val="nil"/>
              <w:bottom w:val="nil"/>
              <w:right w:val="nil"/>
            </w:tcBorders>
            <w:shd w:val="clear" w:color="auto" w:fill="auto"/>
            <w:tcMar>
              <w:top w:w="15" w:type="dxa"/>
              <w:left w:w="15" w:type="dxa"/>
              <w:right w:w="15" w:type="dxa"/>
            </w:tcMar>
            <w:vAlign w:val="top"/>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gridAfter w:val="1"/>
          <w:wAfter w:w="169" w:type="dxa"/>
          <w:trHeight w:val="79" w:hRule="atLeast"/>
          <w:jc w:val="center"/>
        </w:trPr>
        <w:tc>
          <w:tcPr>
            <w:tcW w:w="335"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179"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520"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3387"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90"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815"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1774" w:type="dxa"/>
            <w:gridSpan w:val="2"/>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570"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441"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669" w:type="dxa"/>
            <w:gridSpan w:val="2"/>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1646" w:type="dxa"/>
            <w:gridSpan w:val="2"/>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79" w:hRule="atLeast"/>
          <w:jc w:val="center"/>
        </w:trPr>
        <w:tc>
          <w:tcPr>
            <w:tcW w:w="4421" w:type="dxa"/>
            <w:gridSpan w:val="4"/>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Cs w:val="21"/>
              </w:rPr>
            </w:pPr>
            <w:r>
              <w:rPr>
                <w:rFonts w:hint="eastAsia" w:ascii="宋体" w:hAnsi="宋体" w:cs="宋体"/>
                <w:color w:val="000000"/>
                <w:kern w:val="0"/>
                <w:szCs w:val="21"/>
              </w:rPr>
              <w:t>部门：</w:t>
            </w:r>
          </w:p>
        </w:tc>
        <w:tc>
          <w:tcPr>
            <w:tcW w:w="90"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815"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2344" w:type="dxa"/>
            <w:gridSpan w:val="3"/>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441"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90" w:type="dxa"/>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rPr>
                <w:rFonts w:ascii="Arial" w:hAnsi="Arial" w:cs="Arial"/>
                <w:color w:val="000000"/>
                <w:szCs w:val="21"/>
              </w:rPr>
            </w:pPr>
          </w:p>
        </w:tc>
        <w:tc>
          <w:tcPr>
            <w:tcW w:w="2394" w:type="dxa"/>
            <w:gridSpan w:val="4"/>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gridAfter w:val="2"/>
          <w:wAfter w:w="1140" w:type="dxa"/>
          <w:trHeight w:val="79" w:hRule="atLeast"/>
          <w:jc w:val="center"/>
        </w:trPr>
        <w:tc>
          <w:tcPr>
            <w:tcW w:w="4421"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05"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06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714"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57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441"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669"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675"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387" w:type="dxa"/>
            <w:tcBorders>
              <w:top w:val="nil"/>
              <w:left w:val="nil"/>
              <w:bottom w:val="single" w:color="000000" w:sz="4" w:space="0"/>
              <w:right w:val="single" w:color="auto"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05" w:type="dxa"/>
            <w:gridSpan w:val="2"/>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106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p>
        </w:tc>
        <w:tc>
          <w:tcPr>
            <w:tcW w:w="714"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p>
        </w:tc>
        <w:tc>
          <w:tcPr>
            <w:tcW w:w="57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p>
        </w:tc>
        <w:tc>
          <w:tcPr>
            <w:tcW w:w="441"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p>
        </w:tc>
        <w:tc>
          <w:tcPr>
            <w:tcW w:w="669"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p>
        </w:tc>
        <w:tc>
          <w:tcPr>
            <w:tcW w:w="675"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442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Layout w:type="fixed"/>
          <w:tblCellMar>
            <w:top w:w="0" w:type="dxa"/>
            <w:left w:w="0" w:type="dxa"/>
            <w:bottom w:w="0" w:type="dxa"/>
            <w:right w:w="0" w:type="dxa"/>
          </w:tblCellMar>
        </w:tblPrEx>
        <w:trPr>
          <w:gridAfter w:val="2"/>
          <w:wAfter w:w="1140" w:type="dxa"/>
          <w:trHeight w:val="79" w:hRule="atLeast"/>
          <w:jc w:val="center"/>
        </w:trPr>
        <w:tc>
          <w:tcPr>
            <w:tcW w:w="442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0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37499.98</w:t>
            </w:r>
          </w:p>
        </w:tc>
        <w:tc>
          <w:tcPr>
            <w:tcW w:w="1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37499.98</w:t>
            </w:r>
          </w:p>
        </w:tc>
        <w:tc>
          <w:tcPr>
            <w:tcW w:w="7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b/>
                <w:color w:val="000000"/>
                <w:sz w:val="18"/>
                <w:szCs w:val="18"/>
              </w:rPr>
            </w:pPr>
          </w:p>
        </w:tc>
        <w:tc>
          <w:tcPr>
            <w:tcW w:w="5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b/>
                <w:color w:val="000000"/>
                <w:sz w:val="18"/>
                <w:szCs w:val="18"/>
              </w:rPr>
            </w:pPr>
          </w:p>
        </w:tc>
        <w:tc>
          <w:tcPr>
            <w:tcW w:w="44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b/>
                <w:color w:val="000000"/>
                <w:sz w:val="18"/>
                <w:szCs w:val="18"/>
              </w:rPr>
            </w:pPr>
          </w:p>
        </w:tc>
        <w:tc>
          <w:tcPr>
            <w:tcW w:w="66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b/>
                <w:color w:val="000000"/>
                <w:sz w:val="18"/>
                <w:szCs w:val="18"/>
              </w:rPr>
            </w:pPr>
          </w:p>
        </w:tc>
        <w:tc>
          <w:tcPr>
            <w:tcW w:w="67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b/>
                <w:color w:val="000000"/>
                <w:sz w:val="18"/>
                <w:szCs w:val="18"/>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社会保障和就业支出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48.20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48.20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行政事业单位离退休</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48.20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48.20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2080505</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机关事业单位基本养老保险缴费支出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48.20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48.20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医疗卫生与计划生育支出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20.16</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20.16</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21011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行政事业单位医疗</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20.16</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20.16</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2101101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行政单位医疗</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20.16</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20.16</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节能环保支出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30068.52</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30068.52</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21103</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污染防治</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30068.52</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30068.52</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2110301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大气</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30068.52</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30068.52</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212</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城乡社区支出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5639.58</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5639.58</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21201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城乡社区管理事务</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1115.40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1115.40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2120101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行政运行</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1054.06</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1054.06</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2120102</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一般行政管理事务</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61.33</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61.33</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21206</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建设市场管理与监督</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2120601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建设市场管理与监督</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21208</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r>
              <w:rPr>
                <w:rFonts w:hint="eastAsia" w:ascii="宋体" w:hAnsi="宋体" w:cs="宋体"/>
                <w:color w:val="000000"/>
                <w:sz w:val="13"/>
                <w:szCs w:val="13"/>
                <w:lang w:eastAsia="zh-CN"/>
              </w:rPr>
              <w:t>国有土地使用权出让收入及对应专项债务收入安排的支出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3990.19</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3990.19</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2120801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征地和拆迁补偿支出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3990.19</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3990.19</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21213</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13"/>
                <w:szCs w:val="13"/>
                <w:lang w:eastAsia="zh-CN"/>
              </w:rPr>
              <w:t>城市基础设施配套费及对应专项债务收入安排的支出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530.00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530.00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2121302</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城市环境卫生</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530.00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530.00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215</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资源勘探信息等支出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21506</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安全生产监管</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2150605</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安全监管监察专项</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住房保障支出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1165.32</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1165.32</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22101</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保障性安居工程支出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1165.32</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1165.32</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2210105</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农村危房改造</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1156.58</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1156.58</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2210199</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其它保障性安居工程支出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8.75</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8.75</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229</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其他支出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553.20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553.20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22904</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15"/>
                <w:szCs w:val="15"/>
                <w:lang w:eastAsia="zh-CN"/>
              </w:rPr>
              <w:t>其他政府性基金及对应专项债务收入安排的支出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553.20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553.20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2290400</w:t>
            </w:r>
          </w:p>
        </w:tc>
        <w:tc>
          <w:tcPr>
            <w:tcW w:w="3387"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sz w:val="20"/>
                <w:szCs w:val="20"/>
                <w:lang w:eastAsia="zh-CN"/>
              </w:rPr>
            </w:pPr>
            <w:r>
              <w:rPr>
                <w:rFonts w:hint="eastAsia" w:ascii="宋体" w:hAnsi="宋体" w:cs="宋体"/>
                <w:color w:val="000000"/>
                <w:sz w:val="15"/>
                <w:szCs w:val="15"/>
                <w:lang w:eastAsia="zh-CN"/>
              </w:rPr>
              <w:t>其他政府性基金及时对应专项债务收入安排的支出</w:t>
            </w:r>
          </w:p>
        </w:tc>
        <w:tc>
          <w:tcPr>
            <w:tcW w:w="9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553.20</w:t>
            </w:r>
          </w:p>
        </w:tc>
        <w:tc>
          <w:tcPr>
            <w:tcW w:w="106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553.20</w:t>
            </w:r>
          </w:p>
        </w:tc>
        <w:tc>
          <w:tcPr>
            <w:tcW w:w="714"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441"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right"/>
              <w:rPr>
                <w:rFonts w:ascii="宋体" w:hAnsi="宋体" w:cs="宋体"/>
                <w:color w:val="000000"/>
                <w:sz w:val="20"/>
                <w:szCs w:val="20"/>
              </w:rPr>
            </w:pPr>
          </w:p>
        </w:tc>
        <w:tc>
          <w:tcPr>
            <w:tcW w:w="6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2"/>
          <w:wAfter w:w="1140" w:type="dxa"/>
          <w:trHeight w:val="79" w:hRule="atLeast"/>
          <w:jc w:val="center"/>
        </w:trPr>
        <w:tc>
          <w:tcPr>
            <w:tcW w:w="9455" w:type="dxa"/>
            <w:gridSpan w:val="13"/>
            <w:tcBorders>
              <w:top w:val="nil"/>
              <w:left w:val="nil"/>
              <w:bottom w:val="nil"/>
              <w:right w:val="nil"/>
            </w:tcBorders>
            <w:shd w:val="clear" w:color="auto" w:fill="auto"/>
            <w:tcMar>
              <w:top w:w="15" w:type="dxa"/>
              <w:left w:w="15" w:type="dxa"/>
              <w:right w:w="15" w:type="dxa"/>
            </w:tcMar>
            <w:vAlign w:val="top"/>
          </w:tcPr>
          <w:p>
            <w:pPr>
              <w:widowControl/>
              <w:spacing w:after="0" w:line="240" w:lineRule="atLeast"/>
              <w:jc w:val="both"/>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11356" w:type="dxa"/>
        <w:tblInd w:w="0" w:type="dxa"/>
        <w:tblLayout w:type="fixed"/>
        <w:tblCellMar>
          <w:top w:w="0" w:type="dxa"/>
          <w:left w:w="0" w:type="dxa"/>
          <w:bottom w:w="0" w:type="dxa"/>
          <w:right w:w="0" w:type="dxa"/>
        </w:tblCellMar>
      </w:tblPr>
      <w:tblGrid>
        <w:gridCol w:w="290"/>
        <w:gridCol w:w="289"/>
        <w:gridCol w:w="803"/>
        <w:gridCol w:w="3523"/>
        <w:gridCol w:w="90"/>
        <w:gridCol w:w="810"/>
        <w:gridCol w:w="885"/>
        <w:gridCol w:w="960"/>
        <w:gridCol w:w="90"/>
        <w:gridCol w:w="405"/>
        <w:gridCol w:w="555"/>
        <w:gridCol w:w="158"/>
        <w:gridCol w:w="577"/>
        <w:gridCol w:w="296"/>
        <w:gridCol w:w="16"/>
        <w:gridCol w:w="1609"/>
      </w:tblGrid>
      <w:tr>
        <w:tblPrEx>
          <w:tblLayout w:type="fixed"/>
          <w:tblCellMar>
            <w:top w:w="0" w:type="dxa"/>
            <w:left w:w="0" w:type="dxa"/>
            <w:bottom w:w="0" w:type="dxa"/>
            <w:right w:w="0" w:type="dxa"/>
          </w:tblCellMar>
        </w:tblPrEx>
        <w:trPr>
          <w:gridAfter w:val="3"/>
          <w:wAfter w:w="1921" w:type="dxa"/>
          <w:trHeight w:val="798" w:hRule="atLeast"/>
        </w:trPr>
        <w:tc>
          <w:tcPr>
            <w:tcW w:w="9435" w:type="dxa"/>
            <w:gridSpan w:val="1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352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2655"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889"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160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both"/>
              <w:textAlignment w:val="center"/>
              <w:rPr>
                <w:rFonts w:ascii="宋体" w:hAnsi="宋体" w:cs="宋体"/>
                <w:color w:val="000000"/>
                <w:szCs w:val="21"/>
              </w:rPr>
            </w:pPr>
            <w:r>
              <w:rPr>
                <w:rFonts w:hint="eastAsia" w:ascii="宋体" w:hAnsi="宋体" w:cs="宋体"/>
                <w:color w:val="000000"/>
                <w:kern w:val="0"/>
                <w:szCs w:val="21"/>
              </w:rPr>
              <w:t>公开03表</w:t>
            </w:r>
          </w:p>
        </w:tc>
      </w:tr>
      <w:tr>
        <w:tblPrEx>
          <w:tblLayout w:type="fixed"/>
          <w:tblCellMar>
            <w:top w:w="0" w:type="dxa"/>
            <w:left w:w="0" w:type="dxa"/>
            <w:bottom w:w="0" w:type="dxa"/>
            <w:right w:w="0" w:type="dxa"/>
          </w:tblCellMar>
        </w:tblPrEx>
        <w:trPr>
          <w:gridAfter w:val="2"/>
          <w:wAfter w:w="1625" w:type="dxa"/>
          <w:trHeight w:val="380" w:hRule="atLeast"/>
        </w:trPr>
        <w:tc>
          <w:tcPr>
            <w:tcW w:w="4905"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169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9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2081"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gridAfter w:val="3"/>
          <w:wAfter w:w="1921" w:type="dxa"/>
          <w:trHeight w:val="79" w:hRule="atLeast"/>
        </w:trPr>
        <w:tc>
          <w:tcPr>
            <w:tcW w:w="49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90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88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960"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49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55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73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90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8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60"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49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55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3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490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gridAfter w:val="3"/>
          <w:wAfter w:w="1921" w:type="dxa"/>
          <w:trHeight w:val="79" w:hRule="atLeast"/>
        </w:trPr>
        <w:tc>
          <w:tcPr>
            <w:tcW w:w="490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30411.59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1071.44</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29340.15</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208</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社会保障和就业支出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28.20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28.20</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20805</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行政事业单位离退休</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28.20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28.20</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2080505</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机关事业单位基本养老保险缴费支出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28.20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28.20</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210</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医疗卫生与计划生育支出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12.62</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12.62</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21011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行政事业单位医疗</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12.62</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12.62</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2101101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行政单位医疗</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12.62</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12.62</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节能环保支出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23924.77</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23924.77</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21103</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污染防治</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23924.77</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23924.77</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2110301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大气</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23924.77</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23924.77</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城乡社区支出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4851.17</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1030.62</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3820.55</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21201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城乡社区管理事务</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1091.63</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1030.62</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61.01</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2120101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行政运行</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1030.62</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1030.62</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2120102</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一般行政管理事务</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61.01</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61.01</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21206</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建设市场管理与监督</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3.99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3.99</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2120601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建设市场管理与监督</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3.99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3.99</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21208</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ascii="宋体" w:hAnsi="宋体" w:eastAsia="宋体" w:cs="宋体"/>
                <w:color w:val="000000"/>
                <w:kern w:val="2"/>
                <w:sz w:val="20"/>
                <w:szCs w:val="20"/>
                <w:lang w:val="en-US" w:eastAsia="zh-CN" w:bidi="ar-SA"/>
              </w:rPr>
            </w:pPr>
            <w:r>
              <w:rPr>
                <w:rFonts w:hint="eastAsia" w:ascii="宋体" w:hAnsi="宋体" w:cs="宋体"/>
                <w:color w:val="000000"/>
                <w:sz w:val="13"/>
                <w:szCs w:val="13"/>
                <w:lang w:eastAsia="zh-CN"/>
              </w:rPr>
              <w:t>国有土地使用权出让收入及对应专项债务收入安排的支出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3225.55</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3225.55</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2120801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征地和拆迁补偿支出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3225.55</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3225.55</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21213</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13"/>
                <w:szCs w:val="13"/>
                <w:lang w:eastAsia="zh-CN"/>
              </w:rPr>
              <w:t>城市基础设施配套费及对应专项债务收入安排的支出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530.00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530.00</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2121302</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城市环境卫生</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530.00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530.00</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215</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资源勘探信息等支出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5.00</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21506</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安全生产监管</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5.00</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2150605</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安全监管监察专项</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5.00</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住房保障支出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1048.33</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1048.33</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22101</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保障性安居工程支出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1048.33</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1048.33</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2210105</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农村危房改造</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1039.59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1039.59</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2210199</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其它保障性安居工程支出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8.75</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8.75</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229</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其他支出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541.50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541.50</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22904</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15"/>
                <w:szCs w:val="15"/>
                <w:lang w:eastAsia="zh-CN"/>
              </w:rPr>
              <w:t>其他政府性基金及对应专项债务收入安排的支出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541.50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541.50</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9"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2290400</w:t>
            </w:r>
          </w:p>
        </w:tc>
        <w:tc>
          <w:tcPr>
            <w:tcW w:w="3523"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widowControl/>
              <w:spacing w:after="0" w:line="240" w:lineRule="atLeast"/>
              <w:jc w:val="both"/>
              <w:rPr>
                <w:rFonts w:hint="eastAsia" w:ascii="宋体" w:hAnsi="宋体" w:eastAsia="宋体" w:cs="宋体"/>
                <w:color w:val="000000"/>
                <w:kern w:val="2"/>
                <w:sz w:val="20"/>
                <w:szCs w:val="20"/>
                <w:lang w:val="en-US" w:eastAsia="zh-CN" w:bidi="ar-SA"/>
              </w:rPr>
            </w:pPr>
            <w:r>
              <w:rPr>
                <w:rFonts w:hint="eastAsia" w:ascii="宋体" w:hAnsi="宋体" w:cs="宋体"/>
                <w:color w:val="000000"/>
                <w:sz w:val="15"/>
                <w:szCs w:val="15"/>
                <w:lang w:eastAsia="zh-CN"/>
              </w:rPr>
              <w:t>其他政府性基金及时对应专项债务收入安排的支出</w:t>
            </w:r>
          </w:p>
        </w:tc>
        <w:tc>
          <w:tcPr>
            <w:tcW w:w="9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541.50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541.50</w:t>
            </w:r>
          </w:p>
        </w:tc>
        <w:tc>
          <w:tcPr>
            <w:tcW w:w="4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3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gridAfter w:val="3"/>
          <w:wAfter w:w="1921" w:type="dxa"/>
          <w:trHeight w:val="748" w:hRule="atLeast"/>
        </w:trPr>
        <w:tc>
          <w:tcPr>
            <w:tcW w:w="9435" w:type="dxa"/>
            <w:gridSpan w:val="1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32426.60</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5073.38</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28.20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28.20</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12.62</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23924.77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23924.77</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4851.17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1095.62</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3755.55</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1048.33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1048.33</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541.50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541.50</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37499.98</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30411.59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26114.54</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4297.05</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2677.28</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9765.67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6440.74</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3324.94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128.68</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2548.60</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40177.26</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40177.26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32555.28</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7621.98</w:t>
            </w: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23" w:type="dxa"/>
        <w:tblInd w:w="0" w:type="dxa"/>
        <w:tblLayout w:type="fixed"/>
        <w:tblCellMar>
          <w:top w:w="0" w:type="dxa"/>
          <w:left w:w="0" w:type="dxa"/>
          <w:bottom w:w="0" w:type="dxa"/>
          <w:right w:w="0" w:type="dxa"/>
        </w:tblCellMar>
      </w:tblPr>
      <w:tblGrid>
        <w:gridCol w:w="317"/>
        <w:gridCol w:w="319"/>
        <w:gridCol w:w="357"/>
        <w:gridCol w:w="3027"/>
        <w:gridCol w:w="90"/>
        <w:gridCol w:w="911"/>
        <w:gridCol w:w="718"/>
        <w:gridCol w:w="263"/>
        <w:gridCol w:w="938"/>
        <w:gridCol w:w="1920"/>
        <w:gridCol w:w="263"/>
      </w:tblGrid>
      <w:tr>
        <w:tblPrEx>
          <w:tblLayout w:type="fixed"/>
          <w:tblCellMar>
            <w:top w:w="0" w:type="dxa"/>
            <w:left w:w="0" w:type="dxa"/>
            <w:bottom w:w="0" w:type="dxa"/>
            <w:right w:w="0" w:type="dxa"/>
          </w:tblCellMar>
        </w:tblPrEx>
        <w:trPr>
          <w:gridAfter w:val="1"/>
          <w:wAfter w:w="263" w:type="dxa"/>
          <w:trHeight w:val="600" w:hRule="atLeast"/>
        </w:trPr>
        <w:tc>
          <w:tcPr>
            <w:tcW w:w="8860" w:type="dxa"/>
            <w:gridSpan w:val="10"/>
            <w:tcBorders>
              <w:top w:val="nil"/>
              <w:left w:val="nil"/>
              <w:bottom w:val="nil"/>
              <w:right w:val="nil"/>
            </w:tcBorders>
            <w:shd w:val="clear" w:color="auto" w:fill="auto"/>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302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gridAfter w:val="1"/>
          <w:wAfter w:w="263" w:type="dxa"/>
          <w:trHeight w:val="334" w:hRule="atLeast"/>
        </w:trPr>
        <w:tc>
          <w:tcPr>
            <w:tcW w:w="4020"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719"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gridAfter w:val="1"/>
          <w:wAfter w:w="263" w:type="dxa"/>
          <w:trHeight w:val="351" w:hRule="atLeast"/>
        </w:trPr>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484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gridAfter w:val="1"/>
          <w:wAfter w:w="263" w:type="dxa"/>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0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0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Layout w:type="fixed"/>
          <w:tblCellMar>
            <w:top w:w="0" w:type="dxa"/>
            <w:left w:w="0" w:type="dxa"/>
            <w:bottom w:w="0" w:type="dxa"/>
            <w:right w:w="0" w:type="dxa"/>
          </w:tblCellMar>
        </w:tblPrEx>
        <w:trPr>
          <w:gridAfter w:val="1"/>
          <w:wAfter w:w="263" w:type="dxa"/>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30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0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gridAfter w:val="1"/>
          <w:wAfter w:w="263" w:type="dxa"/>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30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0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gridAfter w:val="1"/>
          <w:wAfter w:w="263" w:type="dxa"/>
          <w:trHeight w:val="368" w:hRule="atLeast"/>
        </w:trPr>
        <w:tc>
          <w:tcPr>
            <w:tcW w:w="402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0" w:type="dxa"/>
            <w:left w:w="0" w:type="dxa"/>
            <w:bottom w:w="0" w:type="dxa"/>
            <w:right w:w="0" w:type="dxa"/>
          </w:tblCellMar>
        </w:tblPrEx>
        <w:trPr>
          <w:gridAfter w:val="1"/>
          <w:wAfter w:w="263" w:type="dxa"/>
          <w:trHeight w:val="368" w:hRule="atLeast"/>
        </w:trPr>
        <w:tc>
          <w:tcPr>
            <w:tcW w:w="402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26114.54</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1071.44</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25043.10</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208</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社会保障和就业支出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28.20</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28.20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20805</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行政事业单位离退休</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28.20</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28.20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2080505</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机关事业单位基本养老保险缴费支出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28.20</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28.20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210</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医疗卫生与计划生育支出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12.62</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21011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行政事业单位医疗</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12.62</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2101101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行政单位医疗</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12.62</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节能环保支出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23924.77</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23924.77</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21103</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污染防治</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23924.77</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23924.77</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2110301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大气</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23924.77</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23924.77</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212</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城乡社区支出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1095.62</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1030.62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65.00</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21201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城乡社区管理事务</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1091.63</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1030.62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61.01</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2120101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行政运行</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1030.62</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1030.62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2120102</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一般行政管理事务</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61.01</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61.01</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21206</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建设市场管理与监督</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3.99</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3.99</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2120601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建设市场管理与监督</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3.99</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3.99</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215</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资源勘探信息等支出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21506</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安全生产监管</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2150605</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安全监管监察专项</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住房保障支出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1048.33</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1048.33</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22101</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保障性安居工程支出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1048.33</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1048.33</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2210105</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农村危房改造</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1039.59</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1039.59</w:t>
            </w:r>
          </w:p>
        </w:tc>
      </w:tr>
      <w:tr>
        <w:tblPrEx>
          <w:tblLayout w:type="fixed"/>
          <w:tblCellMar>
            <w:top w:w="0" w:type="dxa"/>
            <w:left w:w="0" w:type="dxa"/>
            <w:bottom w:w="0" w:type="dxa"/>
            <w:right w:w="0" w:type="dxa"/>
          </w:tblCellMar>
        </w:tblPrEx>
        <w:trPr>
          <w:gridAfter w:val="1"/>
          <w:wAfter w:w="263" w:type="dxa"/>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2210199</w:t>
            </w:r>
          </w:p>
        </w:tc>
        <w:tc>
          <w:tcPr>
            <w:tcW w:w="3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其他保障性安居工程支出</w:t>
            </w:r>
          </w:p>
        </w:tc>
        <w:tc>
          <w:tcPr>
            <w:tcW w:w="100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8.75</w:t>
            </w:r>
          </w:p>
        </w:tc>
        <w:tc>
          <w:tcPr>
            <w:tcW w:w="191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8.75</w:t>
            </w:r>
          </w:p>
        </w:tc>
      </w:tr>
      <w:tr>
        <w:tblPrEx>
          <w:tblLayout w:type="fixed"/>
          <w:tblCellMar>
            <w:top w:w="0" w:type="dxa"/>
            <w:left w:w="0" w:type="dxa"/>
            <w:bottom w:w="0" w:type="dxa"/>
            <w:right w:w="0" w:type="dxa"/>
          </w:tblCellMar>
        </w:tblPrEx>
        <w:trPr>
          <w:gridAfter w:val="1"/>
          <w:wAfter w:w="263" w:type="dxa"/>
          <w:trHeight w:val="368" w:hRule="atLeast"/>
        </w:trPr>
        <w:tc>
          <w:tcPr>
            <w:tcW w:w="8860" w:type="dxa"/>
            <w:gridSpan w:val="10"/>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992.65</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64.98</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396.04</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17.26</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59.90</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0.08</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130.09</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1.80</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1.39</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193.41</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0.70</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1.39</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105.27</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7.05</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26.20</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3.57</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55.69</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5.25</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4.01</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1.91</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17.85</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2.03</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4.18</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12.43</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0.01</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0.03</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12.43</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0.25</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4.83</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7.24</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12.99</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1005.07</w:t>
            </w:r>
          </w:p>
        </w:tc>
        <w:tc>
          <w:tcPr>
            <w:tcW w:w="5328"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66.37</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8.00</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7.00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7.00</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4.90</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4.87</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4.87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0.03</w:t>
            </w: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315" w:type="dxa"/>
        <w:tblInd w:w="0" w:type="dxa"/>
        <w:tblLayout w:type="fixed"/>
        <w:tblCellMar>
          <w:top w:w="0" w:type="dxa"/>
          <w:left w:w="0" w:type="dxa"/>
          <w:bottom w:w="0" w:type="dxa"/>
          <w:right w:w="0" w:type="dxa"/>
        </w:tblCellMar>
      </w:tblPr>
      <w:tblGrid>
        <w:gridCol w:w="296"/>
        <w:gridCol w:w="191"/>
        <w:gridCol w:w="479"/>
        <w:gridCol w:w="669"/>
        <w:gridCol w:w="2655"/>
        <w:gridCol w:w="780"/>
        <w:gridCol w:w="870"/>
        <w:gridCol w:w="960"/>
        <w:gridCol w:w="585"/>
        <w:gridCol w:w="900"/>
        <w:gridCol w:w="930"/>
      </w:tblGrid>
      <w:tr>
        <w:tblPrEx>
          <w:tblLayout w:type="fixed"/>
          <w:tblCellMar>
            <w:top w:w="0" w:type="dxa"/>
            <w:left w:w="0" w:type="dxa"/>
            <w:bottom w:w="0" w:type="dxa"/>
            <w:right w:w="0" w:type="dxa"/>
          </w:tblCellMar>
        </w:tblPrEx>
        <w:trPr>
          <w:trHeight w:val="707" w:hRule="atLeast"/>
        </w:trPr>
        <w:tc>
          <w:tcPr>
            <w:tcW w:w="9315"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3435"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7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6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585"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0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3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507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7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6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585"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830"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244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9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324"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5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9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332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5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50"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332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5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4290"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4290"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2548.60</w:t>
            </w: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5073.38</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4297.05</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4297.05</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3324.94</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w:t>
            </w: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城乡社区支出</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2548.60</w:t>
            </w: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4520.19</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3755.55</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3755.55</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3313.24</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21208</w:t>
            </w: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8"/>
                <w:szCs w:val="18"/>
                <w:lang w:eastAsia="zh-CN"/>
              </w:rPr>
            </w:pPr>
            <w:r>
              <w:rPr>
                <w:rFonts w:hint="eastAsia" w:ascii="宋体" w:hAnsi="宋体" w:cs="宋体"/>
                <w:color w:val="000000"/>
                <w:sz w:val="15"/>
                <w:szCs w:val="15"/>
                <w:lang w:eastAsia="zh-CN"/>
              </w:rPr>
              <w:t>国有土地使用权出让收入及对应专项债务收入安排的支出</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2548.60</w:t>
            </w: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3990.19</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3225.55</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3225.55</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3313.24</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2120801</w:t>
            </w: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征地和拆迁补偿支出</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2548.60</w:t>
            </w: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3990.19</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3225.55</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3225.55</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3313.24</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21213</w:t>
            </w: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8"/>
                <w:szCs w:val="18"/>
                <w:lang w:eastAsia="zh-CN"/>
              </w:rPr>
            </w:pPr>
            <w:r>
              <w:rPr>
                <w:rFonts w:hint="eastAsia" w:ascii="宋体" w:hAnsi="宋体" w:cs="宋体"/>
                <w:color w:val="000000"/>
                <w:sz w:val="15"/>
                <w:szCs w:val="15"/>
                <w:lang w:eastAsia="zh-CN"/>
              </w:rPr>
              <w:t>城市基础设施配套费及对应专项债务收入安排的支出</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530.00</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530.00</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530.00</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2121302</w:t>
            </w: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城市环境卫生</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530.00</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530.00</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530.00</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229</w:t>
            </w: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其他卫生</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553.20</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541.50</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541.50</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11.70</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22904</w:t>
            </w: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其他政府性基金及对应专项债务收入安排的支出</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553.20</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541.50</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541.50</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11.70</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2290400</w:t>
            </w: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其他政府性基金及对应专项债务收入安排的支出</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553.20</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541.50</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541.50</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11.70</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 w:val="18"/>
                <w:szCs w:val="18"/>
              </w:rPr>
            </w:pP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 w:val="18"/>
                <w:szCs w:val="18"/>
              </w:rPr>
            </w:pP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 w:val="18"/>
                <w:szCs w:val="18"/>
              </w:rPr>
            </w:pPr>
          </w:p>
        </w:tc>
        <w:tc>
          <w:tcPr>
            <w:tcW w:w="332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 w:val="18"/>
                <w:szCs w:val="18"/>
              </w:rPr>
            </w:pP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24" w:hRule="atLeast"/>
        </w:trPr>
        <w:tc>
          <w:tcPr>
            <w:tcW w:w="9315"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r>
              <w:rPr>
                <w:rFonts w:hint="eastAsia" w:ascii="宋体" w:hAnsi="宋体" w:cs="宋体"/>
                <w:color w:val="000000"/>
                <w:kern w:val="0"/>
                <w:sz w:val="22"/>
                <w:szCs w:val="22"/>
                <w:lang w:val="en-US" w:eastAsia="zh-CN"/>
              </w:rPr>
              <w:t>本部门本年度无相关收入或支出情况，按要求空表列示。</w:t>
            </w:r>
            <w:bookmarkStart w:id="0" w:name="_GoBack"/>
            <w:bookmarkEnd w:id="0"/>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9645.29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9645.29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9645.29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314.21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314.21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314.21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5843.56</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5843.56</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5843.56</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3487.52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3487.52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3487.52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9054.28</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9054.28</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9054.28</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284.68</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284.68</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284.68</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5464.79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5464.79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5464.79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3304.81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3304.81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3304.81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w:t>
      </w:r>
      <w:r>
        <w:rPr>
          <w:rFonts w:hint="eastAsia" w:ascii="仿宋_GB2312" w:eastAsia="仿宋_GB2312" w:cs="DengXian-Regular"/>
          <w:sz w:val="32"/>
          <w:szCs w:val="32"/>
          <w:lang w:val="en-US" w:eastAsia="zh-CN"/>
        </w:rPr>
        <w:t>(含结转和结余）40177.26</w:t>
      </w:r>
      <w:r>
        <w:rPr>
          <w:rFonts w:hint="eastAsia" w:ascii="仿宋_GB2312" w:eastAsia="仿宋_GB2312" w:cs="DengXian-Regular"/>
          <w:sz w:val="32"/>
          <w:szCs w:val="32"/>
        </w:rPr>
        <w:t>万元。与2017年度决算相比，</w:t>
      </w:r>
      <w:r>
        <w:rPr>
          <w:rFonts w:hint="eastAsia" w:ascii="仿宋_GB2312" w:eastAsia="仿宋_GB2312" w:cs="DengXian-Regular"/>
          <w:sz w:val="32"/>
          <w:szCs w:val="32"/>
          <w:lang w:eastAsia="zh-CN"/>
        </w:rPr>
        <w:t>收支各增加</w:t>
      </w:r>
      <w:r>
        <w:rPr>
          <w:rFonts w:hint="eastAsia" w:ascii="仿宋_GB2312" w:eastAsia="仿宋_GB2312" w:cs="DengXian-Regular"/>
          <w:sz w:val="32"/>
          <w:szCs w:val="32"/>
          <w:lang w:val="en-US" w:eastAsia="zh-CN"/>
        </w:rPr>
        <w:t>32333.61万元，增长412.23%，主要是气代煤采暖补贴增加。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37499.98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37499.98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eastAsia="黑体" w:hAnsiTheme="majorHAnsi" w:cstheme="majorBidi"/>
          <w:sz w:val="32"/>
          <w:szCs w:val="32"/>
        </w:rPr>
      </w:pPr>
      <w:r>
        <w:rPr>
          <w:rFonts w:hint="eastAsia" w:ascii="黑体" w:hAnsi="Calibri" w:eastAsia="黑体"/>
          <w:sz w:val="32"/>
          <w:szCs w:val="32"/>
        </w:rPr>
        <w:object>
          <v:shape id="_x0000_i1025" o:spt="75" type="#_x0000_t75" style="height:301.5pt;width:402pt;" o:ole="t" filled="f" stroked="f" coordsize="21600,21600" o:gfxdata="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">
            <v:path/>
            <v:fill on="f" focussize="0,0"/>
            <v:stroke on="f"/>
            <v:imagedata r:id="rId5" o:title=""/>
            <o:lock v:ext="edit" aspectratio="t"/>
            <w10:wrap type="none"/>
            <w10:anchorlock/>
          </v:shape>
          <o:OLEObject Type="Embed" ProgID="excel.sheet.8" ShapeID="_x0000_i1025" DrawAspect="Content" ObjectID="_1468075725" r:id="rId4">
            <o:LockedField>false</o:LockedField>
          </o:OLEObject>
        </w:object>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30411.59</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1071.44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3.52</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29340.15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96.48</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3" w:firstLineChars="200"/>
      </w:pPr>
    </w:p>
    <w:p/>
    <w:p/>
    <w:p/>
    <w:p/>
    <w:p>
      <w:pPr>
        <w:pStyle w:val="3"/>
        <w:spacing w:before="0" w:after="0" w:line="580" w:lineRule="exact"/>
        <w:ind w:firstLine="643" w:firstLineChars="200"/>
      </w:pPr>
    </w:p>
    <w:p>
      <w:pPr>
        <w:pStyle w:val="3"/>
        <w:spacing w:before="0" w:after="0" w:line="580" w:lineRule="exact"/>
        <w:ind w:firstLine="643" w:firstLineChars="200"/>
      </w:pPr>
    </w:p>
    <w:p>
      <w:pPr>
        <w:pStyle w:val="3"/>
        <w:spacing w:before="0" w:after="0" w:line="580" w:lineRule="exact"/>
        <w:ind w:firstLine="643" w:firstLineChars="200"/>
      </w:pPr>
    </w:p>
    <w:p>
      <w:pPr>
        <w:pStyle w:val="3"/>
        <w:spacing w:before="0" w:after="0" w:line="580" w:lineRule="exact"/>
        <w:ind w:firstLine="643" w:firstLineChars="200"/>
      </w:pPr>
    </w:p>
    <w:p>
      <w:pPr>
        <w:pStyle w:val="3"/>
        <w:spacing w:before="0" w:after="0" w:line="580" w:lineRule="exact"/>
        <w:ind w:firstLine="643" w:firstLineChars="200"/>
        <w:rPr>
          <w:rFonts w:hint="eastAsia" w:ascii="黑体" w:eastAsia="黑体"/>
          <w:b w:val="0"/>
          <w:bCs w:val="0"/>
        </w:rPr>
      </w:pPr>
      <w:r>
        <w:drawing>
          <wp:anchor distT="0" distB="0" distL="114935" distR="114935" simplePos="0" relativeHeight="251658240" behindDoc="0" locked="0" layoutInCell="1" allowOverlap="1">
            <wp:simplePos x="0" y="0"/>
            <wp:positionH relativeFrom="column">
              <wp:posOffset>406400</wp:posOffset>
            </wp:positionH>
            <wp:positionV relativeFrom="paragraph">
              <wp:posOffset>-3553460</wp:posOffset>
            </wp:positionV>
            <wp:extent cx="5514975" cy="3848100"/>
            <wp:effectExtent l="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514975" cy="3848100"/>
                    </a:xfrm>
                    <a:prstGeom prst="rect">
                      <a:avLst/>
                    </a:prstGeom>
                    <a:noFill/>
                    <a:ln w="9525">
                      <a:noFill/>
                    </a:ln>
                  </pic:spPr>
                </pic:pic>
              </a:graphicData>
            </a:graphic>
          </wp:anchor>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37499.98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31201.16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495.35</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气代煤采暖补贴23782万元、2018年冬季清洁取暖资金2877万元、农村地区气代煤电代煤2018—2019年采暖季运行补贴资金1384万元、农村地区气代煤电代煤省级补助资金1690万元、气代煤安评检测资金538万元等气代煤资金等</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30411.59</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25248.62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489.03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气代煤采暖补贴23782万元等</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32426.60</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30805.88</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1900.75%</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气代煤各项资金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26114.54</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24625.9</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1654.28</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气代煤采暖补贴23782万元等</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5073.38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395.28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8.45</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2018年城乡社区支出比2017年增加627.82万元，2018年其他支出比2017年减少232.54万元</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4297.05</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645.88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17.69</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2018年城乡社区支出增加890.11万元，其他支出减少244.23万元</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3" w:firstLineChars="200"/>
        <w:rPr>
          <w:rFonts w:hint="eastAsia" w:ascii="楷体_GB2312" w:eastAsia="楷体_GB2312" w:cs="DengXian-Bold"/>
          <w:b/>
          <w:bCs/>
          <w:sz w:val="32"/>
          <w:szCs w:val="32"/>
          <w:lang w:eastAsia="zh-CN"/>
        </w:rPr>
      </w:pPr>
      <w:r>
        <w:rPr>
          <w:rFonts w:hint="eastAsia" w:ascii="楷体_GB2312" w:eastAsia="楷体_GB2312" w:cs="DengXian-Bold"/>
          <w:b/>
          <w:bCs/>
          <w:sz w:val="32"/>
          <w:szCs w:val="32"/>
          <w:lang w:eastAsia="zh-CN"/>
        </w:rPr>
        <w:drawing>
          <wp:anchor distT="0" distB="0" distL="114300" distR="114300" simplePos="0" relativeHeight="251663360" behindDoc="0" locked="0" layoutInCell="1" allowOverlap="1">
            <wp:simplePos x="0" y="0"/>
            <wp:positionH relativeFrom="column">
              <wp:posOffset>-8890</wp:posOffset>
            </wp:positionH>
            <wp:positionV relativeFrom="paragraph">
              <wp:posOffset>367665</wp:posOffset>
            </wp:positionV>
            <wp:extent cx="5433060" cy="2924810"/>
            <wp:effectExtent l="4445" t="4445" r="10795" b="2349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3" w:firstLineChars="200"/>
        <w:rPr>
          <w:rFonts w:hint="eastAsia" w:ascii="楷体_GB2312" w:eastAsia="楷体_GB2312" w:cs="DengXian-Bold"/>
          <w:b/>
          <w:bCs/>
          <w:sz w:val="32"/>
          <w:szCs w:val="32"/>
          <w:lang w:eastAsia="zh-CN"/>
        </w:rPr>
      </w:pP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37499.98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118.55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5868.35</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气代煤资金增加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30411.59</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96.14</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1220.04</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气代煤资金按合同时间节点未能全额拨付</w:t>
      </w:r>
      <w:r>
        <w:rPr>
          <w:rFonts w:hint="eastAsia" w:ascii="仿宋_GB2312" w:eastAsia="仿宋_GB2312" w:cs="DengXian-Regular"/>
          <w:sz w:val="32"/>
          <w:szCs w:val="32"/>
        </w:rPr>
        <w:t>。</w:t>
      </w:r>
    </w:p>
    <w:p>
      <w:pPr>
        <w:adjustRightInd w:val="0"/>
        <w:snapToGrid w:val="0"/>
        <w:spacing w:after="0" w:line="580" w:lineRule="exact"/>
        <w:ind w:firstLine="420" w:firstLineChars="200"/>
        <w:rPr>
          <w:rFonts w:ascii="仿宋_GB2312" w:eastAsia="仿宋_GB2312" w:cs="DengXian-Regular"/>
          <w:sz w:val="32"/>
          <w:szCs w:val="32"/>
        </w:rPr>
      </w:pPr>
      <w:r>
        <w:drawing>
          <wp:anchor distT="0" distB="0" distL="114935" distR="114935" simplePos="0" relativeHeight="251665408" behindDoc="0" locked="0" layoutInCell="1" allowOverlap="1">
            <wp:simplePos x="0" y="0"/>
            <wp:positionH relativeFrom="column">
              <wp:posOffset>337820</wp:posOffset>
            </wp:positionH>
            <wp:positionV relativeFrom="paragraph">
              <wp:posOffset>3442335</wp:posOffset>
            </wp:positionV>
            <wp:extent cx="4572000" cy="2743200"/>
            <wp:effectExtent l="4445" t="4445" r="14605" b="14605"/>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128.1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7113.09</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气代煤资金指标下达到单位</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103.16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801.03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气代煤下达指标拨付到各乡镇</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80.30</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1244.74</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污水管网工程资金未完工，资金未支付</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68.01</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2021.07</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气代煤资金结转到下一年度拨付</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30411.59</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：社会保障支出</w:t>
      </w:r>
      <w:r>
        <w:rPr>
          <w:rFonts w:hint="eastAsia" w:ascii="仿宋_GB2312" w:eastAsia="仿宋_GB2312" w:cs="DengXian-Regular"/>
          <w:sz w:val="32"/>
          <w:szCs w:val="32"/>
          <w:lang w:val="en-US" w:eastAsia="zh-CN"/>
        </w:rPr>
        <w:t>28.20万元，占0.09</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w:t>
      </w:r>
      <w:r>
        <w:rPr>
          <w:rFonts w:hint="eastAsia" w:ascii="仿宋_GB2312" w:eastAsia="仿宋_GB2312" w:cs="DengXian-Regular"/>
          <w:sz w:val="32"/>
          <w:szCs w:val="32"/>
          <w:lang w:val="en-US" w:eastAsia="zh-CN"/>
        </w:rPr>
        <w:t>12.62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0.04</w:t>
      </w:r>
      <w:r>
        <w:rPr>
          <w:rFonts w:hint="eastAsia" w:ascii="仿宋_GB2312" w:eastAsia="仿宋_GB2312" w:cs="DengXian-Regular"/>
          <w:sz w:val="32"/>
          <w:szCs w:val="32"/>
        </w:rPr>
        <w:t>%；</w:t>
      </w:r>
      <w:r>
        <w:rPr>
          <w:rFonts w:hint="eastAsia" w:ascii="仿宋_GB2312" w:eastAsia="仿宋_GB2312" w:cs="DengXian-Regular"/>
          <w:sz w:val="32"/>
          <w:szCs w:val="32"/>
          <w:lang w:eastAsia="zh-CN"/>
        </w:rPr>
        <w:t>节能环保</w:t>
      </w:r>
      <w:r>
        <w:rPr>
          <w:rFonts w:hint="eastAsia" w:ascii="仿宋_GB2312" w:eastAsia="仿宋_GB2312" w:cs="DengXian-Regular"/>
          <w:sz w:val="32"/>
          <w:szCs w:val="32"/>
          <w:lang w:val="en-US" w:eastAsia="zh-CN"/>
        </w:rPr>
        <w:t>23924.77万元，占78.67%；城乡社区支出4851.17万元，占15.95%；保障房支出1048.33万元，占3.45%；其它支出541.50万元，占1.8%。</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jc w:val="center"/>
        <w:rPr>
          <w:rFonts w:ascii="楷体_GB2312" w:eastAsia="楷体_GB2312" w:cs="DengXian-Bold"/>
          <w:b/>
          <w:bCs/>
          <w:sz w:val="32"/>
          <w:szCs w:val="32"/>
        </w:rPr>
      </w:pPr>
      <w:r>
        <w:drawing>
          <wp:anchor distT="0" distB="0" distL="114935" distR="114935" simplePos="0" relativeHeight="251664384" behindDoc="0" locked="0" layoutInCell="1" allowOverlap="1">
            <wp:simplePos x="0" y="0"/>
            <wp:positionH relativeFrom="column">
              <wp:posOffset>-57150</wp:posOffset>
            </wp:positionH>
            <wp:positionV relativeFrom="paragraph">
              <wp:posOffset>227965</wp:posOffset>
            </wp:positionV>
            <wp:extent cx="5610225" cy="2573655"/>
            <wp:effectExtent l="0" t="0" r="9525" b="171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610225" cy="2573655"/>
                    </a:xfrm>
                    <a:prstGeom prst="rect">
                      <a:avLst/>
                    </a:prstGeom>
                    <a:noFill/>
                    <a:ln w="9525">
                      <a:noFill/>
                    </a:ln>
                  </pic:spPr>
                </pic:pic>
              </a:graphicData>
            </a:graphic>
          </wp:anchor>
        </w:drawing>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1071.44</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1005.07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66.37</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4.9</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3.1</w:t>
      </w:r>
      <w:r>
        <w:rPr>
          <w:rFonts w:eastAsia="仿宋_GB2312"/>
          <w:sz w:val="32"/>
          <w:szCs w:val="32"/>
        </w:rPr>
        <w:t>万元，降低</w:t>
      </w:r>
      <w:r>
        <w:rPr>
          <w:rFonts w:hint="eastAsia" w:eastAsia="仿宋_GB2312"/>
          <w:sz w:val="32"/>
          <w:szCs w:val="32"/>
          <w:lang w:val="en-US" w:eastAsia="zh-CN"/>
        </w:rPr>
        <w:t>38.75</w:t>
      </w:r>
      <w:r>
        <w:rPr>
          <w:rFonts w:eastAsia="仿宋_GB2312"/>
          <w:sz w:val="32"/>
          <w:szCs w:val="32"/>
        </w:rPr>
        <w:t>%，主要是</w:t>
      </w:r>
      <w:r>
        <w:rPr>
          <w:rFonts w:hint="eastAsia" w:eastAsia="仿宋_GB2312"/>
          <w:sz w:val="32"/>
          <w:szCs w:val="32"/>
          <w:lang w:eastAsia="zh-CN"/>
        </w:rPr>
        <w:t>公务用车运行与维护费和公务接待费减少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1.95</w:t>
      </w:r>
      <w:r>
        <w:rPr>
          <w:rFonts w:eastAsia="仿宋_GB2312"/>
          <w:sz w:val="32"/>
          <w:szCs w:val="32"/>
        </w:rPr>
        <w:t>万元，降低</w:t>
      </w:r>
      <w:r>
        <w:rPr>
          <w:rFonts w:hint="eastAsia" w:eastAsia="仿宋_GB2312"/>
          <w:sz w:val="32"/>
          <w:szCs w:val="32"/>
          <w:lang w:val="en-US" w:eastAsia="zh-CN"/>
        </w:rPr>
        <w:t>28.47</w:t>
      </w:r>
      <w:r>
        <w:rPr>
          <w:rFonts w:eastAsia="仿宋_GB2312"/>
          <w:sz w:val="32"/>
          <w:szCs w:val="32"/>
        </w:rPr>
        <w:t>%，主要是</w:t>
      </w:r>
      <w:r>
        <w:rPr>
          <w:rFonts w:hint="eastAsia" w:eastAsia="仿宋_GB2312"/>
          <w:sz w:val="32"/>
          <w:szCs w:val="32"/>
          <w:lang w:eastAsia="zh-CN"/>
        </w:rPr>
        <w:t>公务用车运行与维护费和公务接待费减少</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，主要是未发生“因公出国（境）”经费支出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，主要是</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4.87</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2.13</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30.43</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rPr>
        <w:t>公务用车维护费用减少</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1.9</w:t>
      </w:r>
      <w:r>
        <w:rPr>
          <w:rFonts w:eastAsia="仿宋_GB2312"/>
          <w:sz w:val="32"/>
          <w:szCs w:val="32"/>
        </w:rPr>
        <w:t>万元，降低</w:t>
      </w:r>
      <w:r>
        <w:rPr>
          <w:rFonts w:hint="eastAsia" w:eastAsia="仿宋_GB2312"/>
          <w:sz w:val="32"/>
          <w:szCs w:val="32"/>
          <w:lang w:val="en-US" w:eastAsia="zh-CN"/>
        </w:rPr>
        <w:t>28.06</w:t>
      </w:r>
      <w:r>
        <w:rPr>
          <w:rFonts w:eastAsia="仿宋_GB2312"/>
          <w:sz w:val="32"/>
          <w:szCs w:val="32"/>
        </w:rPr>
        <w:t>%，主要是</w:t>
      </w:r>
      <w:r>
        <w:rPr>
          <w:rFonts w:hint="eastAsia" w:eastAsia="仿宋_GB2312"/>
          <w:sz w:val="32"/>
          <w:szCs w:val="32"/>
          <w:lang w:eastAsia="zh-CN"/>
        </w:rPr>
        <w:t>气代煤与危房改造任务减少</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eastAsia="仿宋_GB2312"/>
          <w:color w:val="000000"/>
          <w:sz w:val="32"/>
          <w:szCs w:val="32"/>
        </w:rPr>
        <w:t>较年初预算无增减变化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eastAsia="仿宋_GB2312"/>
          <w:color w:val="000000"/>
          <w:sz w:val="32"/>
          <w:szCs w:val="32"/>
        </w:rPr>
        <w:t>较201</w:t>
      </w:r>
      <w:r>
        <w:rPr>
          <w:rFonts w:hint="eastAsia" w:eastAsia="仿宋_GB2312"/>
          <w:color w:val="000000"/>
          <w:sz w:val="32"/>
          <w:szCs w:val="32"/>
        </w:rPr>
        <w:t>7</w:t>
      </w:r>
      <w:r>
        <w:rPr>
          <w:rFonts w:eastAsia="仿宋_GB2312"/>
          <w:color w:val="000000"/>
          <w:sz w:val="32"/>
          <w:szCs w:val="32"/>
        </w:rPr>
        <w:t>年度决算无增减变化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4.87</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2</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2.13</w:t>
      </w:r>
      <w:r>
        <w:rPr>
          <w:rFonts w:eastAsia="仿宋_GB2312"/>
          <w:sz w:val="32"/>
          <w:szCs w:val="32"/>
        </w:rPr>
        <w:t>万元，降低</w:t>
      </w:r>
      <w:r>
        <w:rPr>
          <w:rFonts w:hint="eastAsia" w:eastAsia="仿宋_GB2312"/>
          <w:sz w:val="32"/>
          <w:szCs w:val="32"/>
          <w:lang w:val="en-US" w:eastAsia="zh-CN"/>
        </w:rPr>
        <w:t xml:space="preserve">30.43 </w:t>
      </w:r>
      <w:r>
        <w:rPr>
          <w:rFonts w:eastAsia="仿宋_GB2312"/>
          <w:sz w:val="32"/>
          <w:szCs w:val="32"/>
        </w:rPr>
        <w:t>%，主要是</w:t>
      </w:r>
      <w:r>
        <w:rPr>
          <w:rFonts w:hint="eastAsia" w:eastAsia="仿宋_GB2312"/>
          <w:sz w:val="32"/>
          <w:szCs w:val="32"/>
          <w:lang w:eastAsia="zh-CN"/>
        </w:rPr>
        <w:t>气代煤与危房改造任务减少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1.9</w:t>
      </w:r>
      <w:r>
        <w:rPr>
          <w:rFonts w:eastAsia="仿宋_GB2312"/>
          <w:sz w:val="32"/>
          <w:szCs w:val="32"/>
        </w:rPr>
        <w:t>万元，降低</w:t>
      </w:r>
      <w:r>
        <w:rPr>
          <w:rFonts w:hint="eastAsia" w:eastAsia="仿宋_GB2312"/>
          <w:sz w:val="32"/>
          <w:szCs w:val="32"/>
          <w:lang w:val="en-US" w:eastAsia="zh-CN"/>
        </w:rPr>
        <w:t>28.06</w:t>
      </w:r>
      <w:r>
        <w:rPr>
          <w:rFonts w:eastAsia="仿宋_GB2312"/>
          <w:sz w:val="32"/>
          <w:szCs w:val="32"/>
        </w:rPr>
        <w:t>%，主要是</w:t>
      </w:r>
      <w:r>
        <w:rPr>
          <w:rFonts w:hint="eastAsia" w:eastAsia="仿宋_GB2312"/>
          <w:sz w:val="32"/>
          <w:szCs w:val="32"/>
          <w:lang w:eastAsia="zh-CN"/>
        </w:rPr>
        <w:t>气代煤与危房改造任务减少</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0.03</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1</w:t>
      </w:r>
      <w:r>
        <w:rPr>
          <w:rFonts w:eastAsia="仿宋_GB2312"/>
          <w:sz w:val="32"/>
          <w:szCs w:val="32"/>
        </w:rPr>
        <w:t>批次、</w:t>
      </w:r>
      <w:r>
        <w:rPr>
          <w:rFonts w:hint="eastAsia" w:eastAsia="仿宋_GB2312"/>
          <w:sz w:val="32"/>
          <w:szCs w:val="32"/>
          <w:lang w:val="en-US" w:eastAsia="zh-CN"/>
        </w:rPr>
        <w:t>6</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0.97</w:t>
      </w:r>
      <w:r>
        <w:rPr>
          <w:rFonts w:eastAsia="仿宋_GB2312"/>
          <w:sz w:val="32"/>
          <w:szCs w:val="32"/>
        </w:rPr>
        <w:t>万元，降低</w:t>
      </w:r>
      <w:r>
        <w:rPr>
          <w:rFonts w:hint="eastAsia" w:eastAsia="仿宋_GB2312"/>
          <w:sz w:val="32"/>
          <w:szCs w:val="32"/>
          <w:lang w:val="en-US" w:eastAsia="zh-CN"/>
        </w:rPr>
        <w:t>97</w:t>
      </w:r>
      <w:r>
        <w:rPr>
          <w:rFonts w:eastAsia="仿宋_GB2312"/>
          <w:sz w:val="32"/>
          <w:szCs w:val="32"/>
        </w:rPr>
        <w:t>%，主要是</w:t>
      </w:r>
      <w:r>
        <w:rPr>
          <w:rFonts w:eastAsia="仿宋_GB2312"/>
          <w:color w:val="000000"/>
          <w:sz w:val="32"/>
          <w:szCs w:val="32"/>
        </w:rPr>
        <w:t>未发生“公务</w:t>
      </w:r>
      <w:r>
        <w:rPr>
          <w:rFonts w:hint="eastAsia" w:eastAsia="仿宋_GB2312"/>
          <w:color w:val="000000"/>
          <w:sz w:val="32"/>
          <w:szCs w:val="32"/>
        </w:rPr>
        <w:t>接待</w:t>
      </w:r>
      <w:r>
        <w:rPr>
          <w:rFonts w:eastAsia="仿宋_GB2312"/>
          <w:color w:val="000000"/>
          <w:sz w:val="32"/>
          <w:szCs w:val="32"/>
        </w:rPr>
        <w:t>”经费支出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0.05</w:t>
      </w:r>
      <w:r>
        <w:rPr>
          <w:rFonts w:eastAsia="仿宋_GB2312"/>
          <w:sz w:val="32"/>
          <w:szCs w:val="32"/>
        </w:rPr>
        <w:t>万元，降低</w:t>
      </w:r>
      <w:r>
        <w:rPr>
          <w:rFonts w:hint="eastAsia" w:eastAsia="仿宋_GB2312"/>
          <w:sz w:val="32"/>
          <w:szCs w:val="32"/>
          <w:lang w:val="en-US" w:eastAsia="zh-CN"/>
        </w:rPr>
        <w:t>62.5</w:t>
      </w:r>
      <w:r>
        <w:rPr>
          <w:rFonts w:eastAsia="仿宋_GB2312"/>
          <w:sz w:val="32"/>
          <w:szCs w:val="32"/>
        </w:rPr>
        <w:t>%，主要是</w:t>
      </w:r>
      <w:r>
        <w:rPr>
          <w:rFonts w:eastAsia="仿宋_GB2312"/>
          <w:color w:val="000000"/>
          <w:sz w:val="32"/>
          <w:szCs w:val="32"/>
        </w:rPr>
        <w:t>未发生“公务</w:t>
      </w:r>
      <w:r>
        <w:rPr>
          <w:rFonts w:hint="eastAsia" w:eastAsia="仿宋_GB2312"/>
          <w:color w:val="000000"/>
          <w:sz w:val="32"/>
          <w:szCs w:val="32"/>
        </w:rPr>
        <w:t>接待</w:t>
      </w:r>
      <w:r>
        <w:rPr>
          <w:rFonts w:eastAsia="仿宋_GB2312"/>
          <w:color w:val="000000"/>
          <w:sz w:val="32"/>
          <w:szCs w:val="32"/>
        </w:rPr>
        <w:t>”经费支出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40" w:firstLineChars="200"/>
        <w:jc w:val="left"/>
        <w:rPr>
          <w:rFonts w:ascii="仿宋" w:hAnsi="仿宋" w:eastAsia="仿宋"/>
          <w:sz w:val="32"/>
          <w:szCs w:val="32"/>
        </w:rPr>
      </w:pPr>
      <w:r>
        <w:rPr>
          <w:rFonts w:hint="eastAsia" w:ascii="仿宋" w:hAnsi="仿宋" w:eastAsia="仿宋" w:cs="宋体"/>
          <w:kern w:val="0"/>
          <w:sz w:val="32"/>
          <w:szCs w:val="32"/>
        </w:rPr>
        <w:t>根据财政预算绩效管理要求，我单位确定部门预算项目和预算额度，清晰描述预算项目开支范围和内容，确定预算项目的绩效目标、绩效指标和评价标准，为预算绩效控制、绩效分析、绩效评价打下好的基础，特别是将重点工程建设纳入绩效管理。</w:t>
      </w:r>
      <w:r>
        <w:rPr>
          <w:rFonts w:hint="eastAsia" w:ascii="仿宋" w:hAnsi="仿宋" w:eastAsia="仿宋" w:cs="微软雅黑"/>
          <w:kern w:val="0"/>
          <w:sz w:val="32"/>
          <w:szCs w:val="32"/>
          <w:lang w:val="zh-CN"/>
        </w:rPr>
        <w:t>按照预算绩效管理要求，</w:t>
      </w:r>
      <w:r>
        <w:rPr>
          <w:rFonts w:hint="eastAsia" w:ascii="仿宋" w:hAnsi="仿宋" w:eastAsia="仿宋"/>
          <w:sz w:val="32"/>
          <w:szCs w:val="32"/>
        </w:rPr>
        <w:t>对</w:t>
      </w:r>
      <w:r>
        <w:rPr>
          <w:rFonts w:ascii="仿宋" w:hAnsi="仿宋" w:eastAsia="仿宋"/>
          <w:sz w:val="32"/>
          <w:szCs w:val="32"/>
        </w:rPr>
        <w:t>201</w:t>
      </w:r>
      <w:r>
        <w:rPr>
          <w:rFonts w:hint="eastAsia" w:ascii="仿宋" w:hAnsi="仿宋" w:eastAsia="仿宋"/>
          <w:sz w:val="32"/>
          <w:szCs w:val="32"/>
        </w:rPr>
        <w:t>8年度财政支出项目绩效和预算单位综合绩效开展自评。</w:t>
      </w:r>
    </w:p>
    <w:p>
      <w:pPr>
        <w:numPr>
          <w:ilvl w:val="0"/>
          <w:numId w:val="2"/>
        </w:numPr>
        <w:autoSpaceDE w:val="0"/>
        <w:autoSpaceDN w:val="0"/>
        <w:adjustRightInd w:val="0"/>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按照县财政局预算绩效管理要求，</w:t>
      </w:r>
      <w:r>
        <w:rPr>
          <w:rFonts w:ascii="仿宋" w:hAnsi="仿宋" w:eastAsia="仿宋"/>
          <w:sz w:val="32"/>
          <w:szCs w:val="32"/>
        </w:rPr>
        <w:t xml:space="preserve"> </w:t>
      </w:r>
      <w:r>
        <w:rPr>
          <w:rFonts w:hint="eastAsia" w:ascii="仿宋" w:hAnsi="仿宋" w:eastAsia="仿宋"/>
          <w:sz w:val="32"/>
          <w:szCs w:val="32"/>
        </w:rPr>
        <w:t>对</w:t>
      </w:r>
      <w:r>
        <w:rPr>
          <w:rFonts w:ascii="仿宋" w:hAnsi="仿宋" w:eastAsia="仿宋"/>
          <w:sz w:val="32"/>
          <w:szCs w:val="32"/>
        </w:rPr>
        <w:t>201</w:t>
      </w:r>
      <w:r>
        <w:rPr>
          <w:rFonts w:hint="eastAsia" w:ascii="仿宋" w:hAnsi="仿宋" w:eastAsia="仿宋"/>
          <w:sz w:val="32"/>
          <w:szCs w:val="32"/>
        </w:rPr>
        <w:t>8年度财政支出项目绩效和预算单位综合绩效开展自评。从评价结果可以看出，我单位预算支出管理较为规范，能按照有关规章制度开展工作，重大支出项目资金到位及时，资金使用合理规范，实现了部门职责绩效目标，公开绩效评价结果为优秀。</w:t>
      </w:r>
    </w:p>
    <w:p>
      <w:pPr>
        <w:adjustRightInd w:val="0"/>
        <w:snapToGrid w:val="0"/>
        <w:spacing w:after="0" w:line="580" w:lineRule="exact"/>
        <w:ind w:firstLine="640" w:firstLineChars="200"/>
        <w:rPr>
          <w:rFonts w:hint="eastAsia"/>
          <w:sz w:val="32"/>
          <w:szCs w:val="32"/>
        </w:rPr>
      </w:pPr>
      <w:r>
        <w:rPr>
          <w:rFonts w:hint="eastAsia" w:ascii="仿宋_GB2312" w:eastAsia="仿宋_GB2312" w:cs="DengXian-Regular"/>
          <w:sz w:val="32"/>
          <w:szCs w:val="32"/>
        </w:rPr>
        <w:t>（三）重点项目绩效评价结果。</w:t>
      </w:r>
    </w:p>
    <w:p>
      <w:pPr>
        <w:autoSpaceDE w:val="0"/>
        <w:autoSpaceDN w:val="0"/>
        <w:adjustRightInd w:val="0"/>
        <w:ind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8年我单位实行项目绩效自评的重点项目有南环路提升改造工程和白马河西延护坡工程项目，资金全部及时拨付列支，保质保量完成绩效任务，评价结果为良。</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66.37</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0.49</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0.73</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压缩开支</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5.83</w:t>
      </w:r>
      <w:r>
        <w:rPr>
          <w:rFonts w:eastAsia="仿宋_GB2312"/>
          <w:sz w:val="32"/>
          <w:szCs w:val="32"/>
        </w:rPr>
        <w:t>万元，增长</w:t>
      </w:r>
      <w:r>
        <w:rPr>
          <w:rFonts w:hint="eastAsia" w:eastAsia="仿宋_GB2312"/>
          <w:sz w:val="32"/>
          <w:szCs w:val="32"/>
          <w:lang w:val="en-US" w:eastAsia="zh-CN"/>
        </w:rPr>
        <w:t>9.63</w:t>
      </w:r>
      <w:r>
        <w:rPr>
          <w:rFonts w:eastAsia="仿宋_GB2312"/>
          <w:sz w:val="32"/>
          <w:szCs w:val="32"/>
        </w:rPr>
        <w:t>%，主要是</w:t>
      </w:r>
      <w:r>
        <w:rPr>
          <w:rFonts w:hint="eastAsia" w:eastAsia="仿宋_GB2312"/>
          <w:sz w:val="32"/>
          <w:szCs w:val="32"/>
          <w:lang w:eastAsia="zh-CN"/>
        </w:rPr>
        <w:t>各科室业务量增加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9645.29</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314.21</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5843.56</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3487.52</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182</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3.1</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24</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0.41</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辆，主要是较上年无增减变化。其中，副部（省）级及以上领导用车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其他</w:t>
      </w:r>
      <w:r>
        <w:rPr>
          <w:rFonts w:hint="eastAsia" w:ascii="仿宋_GB2312" w:eastAsia="仿宋_GB2312" w:cs="DengXian-Regular"/>
          <w:sz w:val="32"/>
          <w:szCs w:val="32"/>
        </w:rPr>
        <w:t>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相关业务科室下乡、下工地</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扬尘在线视频监控设备</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套,主要是无此类设备。</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1、本部门2018年度国有资本经营预算财政拨款无收支及结转结余情况，故国有资本经营预算财政拨款支出决算表以空表列示。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D2919"/>
    <w:multiLevelType w:val="singleLevel"/>
    <w:tmpl w:val="FC4D2919"/>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0573"/>
    <w:rsid w:val="001A1454"/>
    <w:rsid w:val="002F2E91"/>
    <w:rsid w:val="00337045"/>
    <w:rsid w:val="004D0573"/>
    <w:rsid w:val="00700E4D"/>
    <w:rsid w:val="00774535"/>
    <w:rsid w:val="007D19DA"/>
    <w:rsid w:val="0091555D"/>
    <w:rsid w:val="00E604D8"/>
    <w:rsid w:val="00F52B32"/>
    <w:rsid w:val="00F82BA2"/>
    <w:rsid w:val="02C604ED"/>
    <w:rsid w:val="03A041C7"/>
    <w:rsid w:val="0E140D81"/>
    <w:rsid w:val="15F14E11"/>
    <w:rsid w:val="16EE7035"/>
    <w:rsid w:val="19932A00"/>
    <w:rsid w:val="1A8D1479"/>
    <w:rsid w:val="1D295DF0"/>
    <w:rsid w:val="1EFA7FB0"/>
    <w:rsid w:val="1F5D09A1"/>
    <w:rsid w:val="26875485"/>
    <w:rsid w:val="28E3224D"/>
    <w:rsid w:val="2CA4242A"/>
    <w:rsid w:val="37F16039"/>
    <w:rsid w:val="38570DEB"/>
    <w:rsid w:val="405C7FDC"/>
    <w:rsid w:val="46C544D0"/>
    <w:rsid w:val="475410F0"/>
    <w:rsid w:val="489C05A5"/>
    <w:rsid w:val="48B965CE"/>
    <w:rsid w:val="4E3503B1"/>
    <w:rsid w:val="52270BF4"/>
    <w:rsid w:val="53B03C96"/>
    <w:rsid w:val="55527E76"/>
    <w:rsid w:val="563D610D"/>
    <w:rsid w:val="5B2A6768"/>
    <w:rsid w:val="73616AB1"/>
    <w:rsid w:val="73867CFB"/>
    <w:rsid w:val="7559077C"/>
    <w:rsid w:val="77200878"/>
    <w:rsid w:val="79B57ED8"/>
    <w:rsid w:val="7A746FDE"/>
    <w:rsid w:val="7CFA77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Body Text Indent"/>
    <w:basedOn w:val="1"/>
    <w:link w:val="34"/>
    <w:unhideWhenUsed/>
    <w:qFormat/>
    <w:uiPriority w:val="99"/>
    <w:pPr>
      <w:spacing w:after="0" w:line="0" w:lineRule="atLeast"/>
      <w:ind w:firstLine="640" w:firstLineChars="200"/>
    </w:pPr>
    <w:rPr>
      <w:rFonts w:asciiTheme="minorHAnsi" w:hAnsiTheme="minorHAnsi" w:eastAsiaTheme="minorEastAsia" w:cstheme="minorBidi"/>
      <w:sz w:val="32"/>
      <w:szCs w:val="22"/>
    </w:rPr>
  </w:style>
  <w:style w:type="paragraph" w:styleId="7">
    <w:name w:val="Date"/>
    <w:basedOn w:val="1"/>
    <w:next w:val="1"/>
    <w:link w:val="20"/>
    <w:unhideWhenUsed/>
    <w:qFormat/>
    <w:uiPriority w:val="99"/>
    <w:pPr>
      <w:ind w:left="100" w:leftChars="2500"/>
    </w:pPr>
  </w:style>
  <w:style w:type="paragraph" w:styleId="8">
    <w:name w:val="Balloon Text"/>
    <w:basedOn w:val="1"/>
    <w:link w:val="21"/>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4"/>
    <w:qFormat/>
    <w:uiPriority w:val="11"/>
    <w:pPr>
      <w:widowControl/>
      <w:spacing w:after="200" w:line="276" w:lineRule="auto"/>
      <w:jc w:val="left"/>
    </w:pPr>
    <w:rPr>
      <w:rFonts w:asciiTheme="majorHAnsi" w:hAnsiTheme="majorHAnsi" w:eastAsiaTheme="majorEastAsia" w:cstheme="majorBidi"/>
      <w:i/>
      <w:iCs/>
      <w:color w:val="4F81BD" w:themeColor="accent1"/>
      <w:spacing w:val="15"/>
      <w:kern w:val="0"/>
      <w:sz w:val="24"/>
    </w:rPr>
  </w:style>
  <w:style w:type="paragraph" w:styleId="12">
    <w:name w:val="Title"/>
    <w:basedOn w:val="1"/>
    <w:next w:val="1"/>
    <w:link w:val="25"/>
    <w:qFormat/>
    <w:uiPriority w:val="10"/>
    <w:pPr>
      <w:widowControl/>
      <w:pBdr>
        <w:bottom w:val="single" w:color="4F81BD" w:themeColor="accent1" w:sz="8" w:space="4"/>
      </w:pBdr>
      <w:spacing w:after="300"/>
      <w:contextualSpacing/>
      <w:jc w:val="left"/>
    </w:pPr>
    <w:rPr>
      <w:rFonts w:asciiTheme="majorHAnsi" w:hAnsiTheme="majorHAnsi" w:eastAsiaTheme="majorEastAsia" w:cstheme="majorBidi"/>
      <w:color w:val="17365D" w:themeColor="text2" w:themeShade="BF"/>
      <w:spacing w:val="5"/>
      <w:kern w:val="28"/>
      <w:sz w:val="52"/>
      <w:szCs w:val="52"/>
    </w:rPr>
  </w:style>
  <w:style w:type="table" w:styleId="14">
    <w:name w:val="Table Grid"/>
    <w:basedOn w:val="13"/>
    <w:qFormat/>
    <w:uiPriority w:val="1"/>
    <w:rPr>
      <w:kern w:val="0"/>
      <w:sz w:val="22"/>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标题 1 Char"/>
    <w:basedOn w:val="15"/>
    <w:link w:val="2"/>
    <w:qFormat/>
    <w:uiPriority w:val="9"/>
    <w:rPr>
      <w:rFonts w:ascii="Times New Roman" w:hAnsi="Times New Roman" w:eastAsia="宋体" w:cs="Times New Roman"/>
      <w:b/>
      <w:bCs/>
      <w:kern w:val="44"/>
      <w:sz w:val="44"/>
      <w:szCs w:val="44"/>
    </w:rPr>
  </w:style>
  <w:style w:type="character" w:customStyle="1" w:styleId="17">
    <w:name w:val="标题 2 Char"/>
    <w:basedOn w:val="15"/>
    <w:link w:val="3"/>
    <w:qFormat/>
    <w:uiPriority w:val="9"/>
    <w:rPr>
      <w:rFonts w:asciiTheme="majorHAnsi" w:hAnsiTheme="majorHAnsi" w:eastAsiaTheme="majorEastAsia" w:cstheme="majorBidi"/>
      <w:b/>
      <w:bCs/>
      <w:sz w:val="32"/>
      <w:szCs w:val="32"/>
    </w:rPr>
  </w:style>
  <w:style w:type="character" w:customStyle="1" w:styleId="18">
    <w:name w:val="标题 3 Char"/>
    <w:basedOn w:val="15"/>
    <w:link w:val="4"/>
    <w:qFormat/>
    <w:uiPriority w:val="9"/>
    <w:rPr>
      <w:rFonts w:ascii="Times New Roman" w:hAnsi="Times New Roman" w:eastAsia="宋体" w:cs="Times New Roman"/>
      <w:b/>
      <w:bCs/>
      <w:sz w:val="32"/>
      <w:szCs w:val="32"/>
    </w:rPr>
  </w:style>
  <w:style w:type="character" w:customStyle="1" w:styleId="19">
    <w:name w:val="标题 4 Char"/>
    <w:basedOn w:val="15"/>
    <w:link w:val="5"/>
    <w:qFormat/>
    <w:uiPriority w:val="9"/>
    <w:rPr>
      <w:rFonts w:asciiTheme="majorHAnsi" w:hAnsiTheme="majorHAnsi" w:eastAsiaTheme="majorEastAsia" w:cstheme="majorBidi"/>
      <w:b/>
      <w:bCs/>
      <w:sz w:val="28"/>
      <w:szCs w:val="28"/>
    </w:rPr>
  </w:style>
  <w:style w:type="character" w:customStyle="1" w:styleId="20">
    <w:name w:val="日期 Char"/>
    <w:basedOn w:val="15"/>
    <w:link w:val="7"/>
    <w:semiHidden/>
    <w:qFormat/>
    <w:uiPriority w:val="99"/>
    <w:rPr>
      <w:rFonts w:ascii="Times New Roman" w:hAnsi="Times New Roman" w:eastAsia="宋体" w:cs="Times New Roman"/>
      <w:szCs w:val="24"/>
    </w:rPr>
  </w:style>
  <w:style w:type="character" w:customStyle="1" w:styleId="21">
    <w:name w:val="批注框文本 Char"/>
    <w:basedOn w:val="15"/>
    <w:link w:val="8"/>
    <w:semiHidden/>
    <w:qFormat/>
    <w:uiPriority w:val="99"/>
    <w:rPr>
      <w:rFonts w:ascii="Times New Roman" w:hAnsi="Times New Roman" w:eastAsia="宋体" w:cs="Times New Roman"/>
      <w:sz w:val="18"/>
      <w:szCs w:val="18"/>
    </w:rPr>
  </w:style>
  <w:style w:type="character" w:customStyle="1" w:styleId="22">
    <w:name w:val="页脚 Char"/>
    <w:basedOn w:val="15"/>
    <w:link w:val="9"/>
    <w:qFormat/>
    <w:uiPriority w:val="99"/>
    <w:rPr>
      <w:sz w:val="18"/>
      <w:szCs w:val="18"/>
    </w:rPr>
  </w:style>
  <w:style w:type="character" w:customStyle="1" w:styleId="23">
    <w:name w:val="页眉 Char"/>
    <w:basedOn w:val="15"/>
    <w:link w:val="10"/>
    <w:qFormat/>
    <w:uiPriority w:val="99"/>
    <w:rPr>
      <w:sz w:val="18"/>
      <w:szCs w:val="18"/>
    </w:rPr>
  </w:style>
  <w:style w:type="character" w:customStyle="1" w:styleId="24">
    <w:name w:val="副标题 Char"/>
    <w:basedOn w:val="15"/>
    <w:link w:val="11"/>
    <w:qFormat/>
    <w:uiPriority w:val="11"/>
    <w:rPr>
      <w:rFonts w:asciiTheme="majorHAnsi" w:hAnsiTheme="majorHAnsi" w:eastAsiaTheme="majorEastAsia" w:cstheme="majorBidi"/>
      <w:i/>
      <w:iCs/>
      <w:color w:val="4F81BD" w:themeColor="accent1"/>
      <w:spacing w:val="15"/>
      <w:kern w:val="0"/>
      <w:sz w:val="24"/>
      <w:szCs w:val="24"/>
    </w:rPr>
  </w:style>
  <w:style w:type="character" w:customStyle="1" w:styleId="25">
    <w:name w:val="标题 Char"/>
    <w:basedOn w:val="15"/>
    <w:link w:val="12"/>
    <w:qFormat/>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26">
    <w:name w:val="No Spacing"/>
    <w:link w:val="27"/>
    <w:qFormat/>
    <w:uiPriority w:val="1"/>
    <w:pPr>
      <w:spacing w:after="160" w:line="480" w:lineRule="auto"/>
    </w:pPr>
    <w:rPr>
      <w:rFonts w:asciiTheme="minorHAnsi" w:hAnsiTheme="minorHAnsi" w:eastAsiaTheme="minorEastAsia" w:cstheme="minorBidi"/>
      <w:kern w:val="0"/>
      <w:sz w:val="22"/>
      <w:szCs w:val="22"/>
      <w:lang w:val="en-US" w:eastAsia="zh-CN" w:bidi="ar-SA"/>
    </w:rPr>
  </w:style>
  <w:style w:type="character" w:customStyle="1" w:styleId="27">
    <w:name w:val="无间隔 Char"/>
    <w:basedOn w:val="15"/>
    <w:link w:val="26"/>
    <w:qFormat/>
    <w:uiPriority w:val="1"/>
    <w:rPr>
      <w:kern w:val="0"/>
      <w:sz w:val="22"/>
    </w:rPr>
  </w:style>
  <w:style w:type="character" w:customStyle="1" w:styleId="28">
    <w:name w:val="Style1"/>
    <w:basedOn w:val="15"/>
    <w:qFormat/>
    <w:uiPriority w:val="1"/>
    <w:rPr>
      <w:rFonts w:asciiTheme="minorHAnsi" w:hAnsiTheme="minorEastAsia" w:eastAsiaTheme="minorEastAsia" w:cstheme="minorBidi"/>
      <w:sz w:val="22"/>
      <w:szCs w:val="22"/>
      <w:lang w:eastAsia="zh-CN"/>
    </w:rPr>
  </w:style>
  <w:style w:type="character" w:customStyle="1" w:styleId="29">
    <w:name w:val="Style2"/>
    <w:basedOn w:val="15"/>
    <w:qFormat/>
    <w:uiPriority w:val="1"/>
    <w:rPr>
      <w:rFonts w:asciiTheme="minorHAnsi" w:hAnsiTheme="minorEastAsia" w:eastAsiaTheme="minorEastAsia" w:cstheme="minorBidi"/>
      <w:sz w:val="22"/>
      <w:szCs w:val="22"/>
      <w:lang w:eastAsia="zh-CN"/>
    </w:rPr>
  </w:style>
  <w:style w:type="character" w:customStyle="1" w:styleId="30">
    <w:name w:val="Style3"/>
    <w:basedOn w:val="15"/>
    <w:qFormat/>
    <w:uiPriority w:val="1"/>
    <w:rPr>
      <w:rFonts w:asciiTheme="minorHAnsi" w:hAnsiTheme="minorEastAsia" w:eastAsiaTheme="minorEastAsia" w:cstheme="minorBidi"/>
      <w:szCs w:val="22"/>
      <w:lang w:eastAsia="zh-CN"/>
    </w:rPr>
  </w:style>
  <w:style w:type="character" w:customStyle="1" w:styleId="31">
    <w:name w:val="Style4"/>
    <w:basedOn w:val="15"/>
    <w:qFormat/>
    <w:uiPriority w:val="1"/>
    <w:rPr>
      <w:rFonts w:asciiTheme="minorHAnsi" w:hAnsiTheme="minorEastAsia" w:eastAsiaTheme="minorEastAsia" w:cstheme="minorBidi"/>
      <w:szCs w:val="22"/>
      <w:lang w:eastAsia="zh-CN"/>
    </w:rPr>
  </w:style>
  <w:style w:type="character" w:customStyle="1" w:styleId="32">
    <w:name w:val="Style5"/>
    <w:basedOn w:val="15"/>
    <w:qFormat/>
    <w:uiPriority w:val="1"/>
    <w:rPr>
      <w:rFonts w:asciiTheme="minorHAnsi" w:hAnsiTheme="minorEastAsia" w:eastAsiaTheme="minorEastAsia" w:cstheme="minorBidi"/>
      <w:sz w:val="22"/>
      <w:szCs w:val="22"/>
      <w:lang w:eastAsia="zh-CN"/>
    </w:rPr>
  </w:style>
  <w:style w:type="paragraph" w:customStyle="1" w:styleId="33">
    <w:name w:val="List Paragraph"/>
    <w:basedOn w:val="1"/>
    <w:unhideWhenUsed/>
    <w:qFormat/>
    <w:uiPriority w:val="99"/>
    <w:pPr>
      <w:ind w:firstLine="420" w:firstLineChars="200"/>
    </w:pPr>
  </w:style>
  <w:style w:type="character" w:customStyle="1" w:styleId="34">
    <w:name w:val="正文文本缩进 Char"/>
    <w:basedOn w:val="15"/>
    <w:link w:val="6"/>
    <w:qFormat/>
    <w:uiPriority w:val="99"/>
    <w:rPr>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kjk\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49396471681"/>
          <c:y val="0.00645022575790153"/>
          <c:w val="0.845125348189415"/>
          <c:h val="0.677316706084713"/>
        </c:manualLayout>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Sheet1!$A$2:$A$7</c:f>
              <c:strCache>
                <c:ptCount val="6"/>
                <c:pt idx="0">
                  <c:v>本年收入</c:v>
                </c:pt>
                <c:pt idx="1">
                  <c:v>本年支出</c:v>
                </c:pt>
                <c:pt idx="2">
                  <c:v>一般公共收入</c:v>
                </c:pt>
                <c:pt idx="3">
                  <c:v>一般公共支出</c:v>
                </c:pt>
                <c:pt idx="4">
                  <c:v>政府性基金收入</c:v>
                </c:pt>
                <c:pt idx="5">
                  <c:v>政府性基金支出</c:v>
                </c:pt>
              </c:strCache>
            </c:strRef>
          </c:cat>
          <c:val>
            <c:numRef>
              <c:f>Sheet1!$B$2:$B$7</c:f>
              <c:numCache>
                <c:formatCode>General</c:formatCode>
                <c:ptCount val="6"/>
                <c:pt idx="0">
                  <c:v>37499.98</c:v>
                </c:pt>
                <c:pt idx="1">
                  <c:v>30411.59</c:v>
                </c:pt>
                <c:pt idx="2">
                  <c:v>32426.6</c:v>
                </c:pt>
                <c:pt idx="3">
                  <c:v>26114.54</c:v>
                </c:pt>
                <c:pt idx="4">
                  <c:v>5073.38</c:v>
                </c:pt>
                <c:pt idx="5">
                  <c:v>4297.05</c:v>
                </c:pt>
              </c:numCache>
            </c:numRef>
          </c:val>
        </c:ser>
        <c:ser>
          <c:idx val="1"/>
          <c:order val="1"/>
          <c:tx>
            <c:strRef>
              <c:f>Sheet1!$C$1</c:f>
              <c:strCache>
                <c:ptCount val="1"/>
                <c:pt idx="0">
                  <c:v>2017年</c:v>
                </c:pt>
              </c:strCache>
            </c:strRef>
          </c:tx>
          <c:spPr>
            <a:solidFill>
              <a:schemeClr val="accent2"/>
            </a:solidFill>
            <a:ln>
              <a:noFill/>
            </a:ln>
            <a:effectLst/>
          </c:spPr>
          <c:invertIfNegative val="0"/>
          <c:dLbls>
            <c:delete val="1"/>
          </c:dLbls>
          <c:cat>
            <c:strRef>
              <c:f>Sheet1!$A$2:$A$7</c:f>
              <c:strCache>
                <c:ptCount val="6"/>
                <c:pt idx="0">
                  <c:v>本年收入</c:v>
                </c:pt>
                <c:pt idx="1">
                  <c:v>本年支出</c:v>
                </c:pt>
                <c:pt idx="2">
                  <c:v>一般公共收入</c:v>
                </c:pt>
                <c:pt idx="3">
                  <c:v>一般公共支出</c:v>
                </c:pt>
                <c:pt idx="4">
                  <c:v>政府性基金收入</c:v>
                </c:pt>
                <c:pt idx="5">
                  <c:v>政府性基金支出</c:v>
                </c:pt>
              </c:strCache>
            </c:strRef>
          </c:cat>
          <c:val>
            <c:numRef>
              <c:f>Sheet1!$C$2:$C$7</c:f>
              <c:numCache>
                <c:formatCode>General</c:formatCode>
                <c:ptCount val="6"/>
                <c:pt idx="0">
                  <c:v>6298.82</c:v>
                </c:pt>
                <c:pt idx="1">
                  <c:v>5162.97</c:v>
                </c:pt>
                <c:pt idx="2">
                  <c:v>1620.72</c:v>
                </c:pt>
                <c:pt idx="3">
                  <c:v>1488.64</c:v>
                </c:pt>
                <c:pt idx="4">
                  <c:v>4678.1</c:v>
                </c:pt>
                <c:pt idx="5">
                  <c:v>3651.17</c:v>
                </c:pt>
              </c:numCache>
            </c:numRef>
          </c:val>
        </c:ser>
        <c:dLbls>
          <c:showLegendKey val="0"/>
          <c:showVal val="0"/>
          <c:showCatName val="0"/>
          <c:showSerName val="0"/>
          <c:showPercent val="0"/>
          <c:showBubbleSize val="0"/>
        </c:dLbls>
        <c:gapWidth val="150"/>
        <c:overlap val="0"/>
        <c:axId val="323740401"/>
        <c:axId val="196332014"/>
      </c:barChart>
      <c:catAx>
        <c:axId val="32374040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332014"/>
        <c:crosses val="autoZero"/>
        <c:auto val="1"/>
        <c:lblAlgn val="ctr"/>
        <c:lblOffset val="100"/>
        <c:noMultiLvlLbl val="0"/>
      </c:catAx>
      <c:valAx>
        <c:axId val="1963320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74040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工作表.xls]Sheet1'!$B$1</c:f>
              <c:strCache>
                <c:ptCount val="1"/>
                <c:pt idx="0">
                  <c:v>决算数</c:v>
                </c:pt>
              </c:strCache>
            </c:strRef>
          </c:tx>
          <c:spPr>
            <a:solidFill>
              <a:schemeClr val="accent1"/>
            </a:solidFill>
            <a:ln>
              <a:noFill/>
            </a:ln>
            <a:effectLst/>
          </c:spPr>
          <c:invertIfNegative val="0"/>
          <c:dLbls>
            <c:dLbl>
              <c:idx val="0"/>
              <c:layout>
                <c:manualLayout>
                  <c:x val="0"/>
                  <c:y val="-0.046313799621928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9256428075052"/>
                  <c:y val="-0.090500945179584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工作表.xls]Sheet1'!$A$2:$A$7</c:f>
              <c:strCache>
                <c:ptCount val="6"/>
                <c:pt idx="0">
                  <c:v>本年收入</c:v>
                </c:pt>
                <c:pt idx="1">
                  <c:v>本年支出</c:v>
                </c:pt>
                <c:pt idx="2">
                  <c:v>一般公共预算收入</c:v>
                </c:pt>
                <c:pt idx="3">
                  <c:v>一般公共预算支出</c:v>
                </c:pt>
                <c:pt idx="4">
                  <c:v>政府性基金收入</c:v>
                </c:pt>
                <c:pt idx="5">
                  <c:v>政府性基金支出</c:v>
                </c:pt>
              </c:strCache>
            </c:strRef>
          </c:cat>
          <c:val>
            <c:numRef>
              <c:f>'[新建 XLS 工作表.xls]Sheet1'!$B$2:$B$7</c:f>
              <c:numCache>
                <c:formatCode>General</c:formatCode>
                <c:ptCount val="6"/>
                <c:pt idx="0">
                  <c:v>37499.98</c:v>
                </c:pt>
                <c:pt idx="1">
                  <c:v>30411.59</c:v>
                </c:pt>
                <c:pt idx="2">
                  <c:v>32426.6</c:v>
                </c:pt>
                <c:pt idx="3">
                  <c:v>26114.54</c:v>
                </c:pt>
                <c:pt idx="4">
                  <c:v>5073.38</c:v>
                </c:pt>
                <c:pt idx="5">
                  <c:v>4297.05</c:v>
                </c:pt>
              </c:numCache>
            </c:numRef>
          </c:val>
        </c:ser>
        <c:ser>
          <c:idx val="1"/>
          <c:order val="1"/>
          <c:tx>
            <c:strRef>
              <c:f>'[新建 XLS 工作表.xls]Sheet1'!$C$1</c:f>
              <c:strCache>
                <c:ptCount val="1"/>
                <c:pt idx="0">
                  <c:v>预算数</c:v>
                </c:pt>
              </c:strCache>
            </c:strRef>
          </c:tx>
          <c:spPr>
            <a:solidFill>
              <a:schemeClr val="accent2"/>
            </a:solidFill>
            <a:ln>
              <a:noFill/>
            </a:ln>
            <a:effectLst/>
          </c:spPr>
          <c:invertIfNegative val="0"/>
          <c:dLbls>
            <c:dLbl>
              <c:idx val="0"/>
              <c:layout>
                <c:manualLayout>
                  <c:x val="0.0244614315496873"/>
                  <c:y val="-0.041591361853319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9325920778318"/>
                  <c:y val="-0.1245274102079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0715774843641"/>
                  <c:y val="-0.026701323251417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30854760250174"/>
                  <c:y val="-0.083175803402646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6828922495274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工作表.xls]Sheet1'!$A$2:$A$7</c:f>
              <c:strCache>
                <c:ptCount val="6"/>
                <c:pt idx="0">
                  <c:v>本年收入</c:v>
                </c:pt>
                <c:pt idx="1">
                  <c:v>本年支出</c:v>
                </c:pt>
                <c:pt idx="2">
                  <c:v>一般公共预算收入</c:v>
                </c:pt>
                <c:pt idx="3">
                  <c:v>一般公共预算支出</c:v>
                </c:pt>
                <c:pt idx="4">
                  <c:v>政府性基金收入</c:v>
                </c:pt>
                <c:pt idx="5">
                  <c:v>政府性基金支出</c:v>
                </c:pt>
              </c:strCache>
            </c:strRef>
          </c:cat>
          <c:val>
            <c:numRef>
              <c:f>'[新建 XLS 工作表.xls]Sheet1'!$C$2:$C$7</c:f>
              <c:numCache>
                <c:formatCode>General</c:formatCode>
                <c:ptCount val="6"/>
                <c:pt idx="0">
                  <c:v>31631.63</c:v>
                </c:pt>
                <c:pt idx="1">
                  <c:v>31631.63</c:v>
                </c:pt>
                <c:pt idx="2">
                  <c:v>25313.51</c:v>
                </c:pt>
                <c:pt idx="3">
                  <c:v>25313.51</c:v>
                </c:pt>
                <c:pt idx="4">
                  <c:v>6318.12</c:v>
                </c:pt>
                <c:pt idx="5">
                  <c:v>6318.12</c:v>
                </c:pt>
              </c:numCache>
            </c:numRef>
          </c:val>
        </c:ser>
        <c:dLbls>
          <c:showLegendKey val="0"/>
          <c:showVal val="1"/>
          <c:showCatName val="0"/>
          <c:showSerName val="0"/>
          <c:showPercent val="0"/>
          <c:showBubbleSize val="0"/>
        </c:dLbls>
        <c:gapWidth val="219"/>
        <c:overlap val="-27"/>
        <c:axId val="729224287"/>
        <c:axId val="687205212"/>
      </c:barChart>
      <c:catAx>
        <c:axId val="729224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205212"/>
        <c:crosses val="autoZero"/>
        <c:auto val="1"/>
        <c:lblAlgn val="ctr"/>
        <c:lblOffset val="100"/>
        <c:noMultiLvlLbl val="0"/>
      </c:catAx>
      <c:valAx>
        <c:axId val="6872052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224287"/>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31</Pages>
  <Words>1691</Words>
  <Characters>9645</Characters>
  <Lines>80</Lines>
  <Paragraphs>22</Paragraphs>
  <TotalTime>1</TotalTime>
  <ScaleCrop>false</ScaleCrop>
  <LinksUpToDate>false</LinksUpToDate>
  <CharactersWithSpaces>11314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2019-10-31T06:42:00Z</dcterms:created>
  <dc:creator>Sky123.Org</dc:creator>
  <cp:lastModifiedBy>邓感超人</cp:lastModifiedBy>
  <cp:lastPrinted>2019-11-12T03:44:00Z</cp:lastPrinted>
  <dcterms:modified xsi:type="dcterms:W3CDTF">2019-11-12T09:03:57Z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