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6C76" w:rsidRDefault="00F26C76">
      <w:pPr>
        <w:widowControl/>
        <w:spacing w:line="1200" w:lineRule="exact"/>
        <w:jc w:val="center"/>
        <w:rPr>
          <w:rFonts w:asciiTheme="minorEastAsia" w:eastAsiaTheme="minorEastAsia" w:hAnsi="宋体"/>
          <w:color w:val="000000" w:themeColor="text1"/>
          <w:sz w:val="96"/>
          <w:szCs w:val="96"/>
        </w:rPr>
      </w:pPr>
    </w:p>
    <w:p w:rsidR="00F26C76" w:rsidRDefault="00F26C76">
      <w:pPr>
        <w:widowControl/>
        <w:spacing w:line="1200" w:lineRule="exact"/>
        <w:jc w:val="center"/>
        <w:rPr>
          <w:rFonts w:asciiTheme="minorEastAsia" w:eastAsiaTheme="minorEastAsia" w:hAnsi="宋体"/>
          <w:color w:val="000000" w:themeColor="text1"/>
          <w:sz w:val="96"/>
          <w:szCs w:val="96"/>
        </w:rPr>
      </w:pPr>
    </w:p>
    <w:p w:rsidR="00F26C76" w:rsidRDefault="00F71E32">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F26C76" w:rsidRDefault="00F26C76">
      <w:pPr>
        <w:widowControl/>
        <w:jc w:val="center"/>
        <w:rPr>
          <w:rFonts w:asciiTheme="minorEastAsia" w:eastAsiaTheme="minorEastAsia" w:hAnsi="宋体"/>
          <w:color w:val="002060"/>
          <w:sz w:val="72"/>
          <w:szCs w:val="72"/>
        </w:rPr>
      </w:pPr>
    </w:p>
    <w:p w:rsidR="00F26C76" w:rsidRDefault="00F26C76">
      <w:pPr>
        <w:widowControl/>
        <w:jc w:val="center"/>
        <w:rPr>
          <w:rFonts w:asciiTheme="minorEastAsia" w:eastAsiaTheme="minorEastAsia" w:hAnsiTheme="minorEastAsia"/>
          <w:b/>
          <w:sz w:val="72"/>
          <w:szCs w:val="72"/>
        </w:rPr>
      </w:pPr>
    </w:p>
    <w:p w:rsidR="00F26C76" w:rsidRDefault="00F26C76">
      <w:pPr>
        <w:widowControl/>
        <w:jc w:val="center"/>
        <w:rPr>
          <w:rFonts w:asciiTheme="minorEastAsia" w:eastAsiaTheme="minorEastAsia" w:hAnsiTheme="minorEastAsia"/>
          <w:b/>
          <w:sz w:val="72"/>
          <w:szCs w:val="72"/>
        </w:rPr>
      </w:pPr>
    </w:p>
    <w:p w:rsidR="00F26C76" w:rsidRDefault="00F26C76">
      <w:pPr>
        <w:widowControl/>
        <w:jc w:val="center"/>
        <w:rPr>
          <w:rFonts w:asciiTheme="minorEastAsia" w:eastAsiaTheme="minorEastAsia" w:hAnsiTheme="minorEastAsia"/>
          <w:b/>
          <w:sz w:val="72"/>
          <w:szCs w:val="72"/>
        </w:rPr>
      </w:pPr>
    </w:p>
    <w:p w:rsidR="00F26C76" w:rsidRDefault="00F26C76">
      <w:pPr>
        <w:widowControl/>
        <w:jc w:val="center"/>
        <w:rPr>
          <w:rFonts w:asciiTheme="minorEastAsia" w:eastAsiaTheme="minorEastAsia" w:hAnsiTheme="minorEastAsia"/>
          <w:b/>
          <w:sz w:val="72"/>
          <w:szCs w:val="72"/>
        </w:rPr>
      </w:pPr>
    </w:p>
    <w:p w:rsidR="00F26C76" w:rsidRDefault="00F26C76">
      <w:pPr>
        <w:widowControl/>
        <w:jc w:val="center"/>
        <w:rPr>
          <w:rFonts w:asciiTheme="minorEastAsia" w:eastAsiaTheme="minorEastAsia" w:hAnsiTheme="minorEastAsia"/>
          <w:b/>
          <w:sz w:val="72"/>
          <w:szCs w:val="72"/>
        </w:rPr>
      </w:pPr>
    </w:p>
    <w:p w:rsidR="00F26C76" w:rsidRDefault="00F71E32">
      <w:pPr>
        <w:widowControl/>
        <w:jc w:val="center"/>
        <w:rPr>
          <w:rFonts w:ascii="楷体" w:eastAsia="楷体" w:hAnsi="楷体" w:cs="楷体"/>
          <w:b/>
          <w:sz w:val="44"/>
          <w:szCs w:val="44"/>
        </w:rPr>
        <w:sectPr w:rsidR="00F26C76">
          <w:pgSz w:w="11906" w:h="16838"/>
          <w:pgMar w:top="2098" w:right="1474" w:bottom="1985" w:left="1588" w:header="851" w:footer="992" w:gutter="0"/>
          <w:cols w:space="425"/>
          <w:docGrid w:type="lines" w:linePitch="312"/>
        </w:sectPr>
      </w:pPr>
      <w:r>
        <w:rPr>
          <w:b/>
          <w:sz w:val="44"/>
          <w:szCs w:val="44"/>
        </w:rPr>
        <w:t>廊坊市</w:t>
      </w:r>
      <w:r>
        <w:rPr>
          <w:rFonts w:hint="eastAsia"/>
          <w:b/>
          <w:sz w:val="44"/>
          <w:szCs w:val="44"/>
        </w:rPr>
        <w:t>大城县住房保障与房产管理局</w:t>
      </w:r>
    </w:p>
    <w:p w:rsidR="00F26C76" w:rsidRDefault="00F26C76">
      <w:pPr>
        <w:widowControl/>
        <w:spacing w:after="0" w:line="600" w:lineRule="exact"/>
        <w:ind w:firstLineChars="200" w:firstLine="640"/>
        <w:jc w:val="left"/>
        <w:rPr>
          <w:rFonts w:ascii="楷体" w:eastAsia="楷体" w:hAnsi="楷体" w:cs="楷体"/>
          <w:sz w:val="32"/>
          <w:szCs w:val="32"/>
          <w:highlight w:val="yellow"/>
        </w:rPr>
      </w:pPr>
    </w:p>
    <w:p w:rsidR="00F26C76" w:rsidRDefault="00F71E32" w:rsidP="00F26C76">
      <w:pPr>
        <w:spacing w:beforeLines="200" w:after="0" w:line="1000" w:lineRule="exact"/>
        <w:jc w:val="center"/>
        <w:rPr>
          <w:rFonts w:ascii="黑体" w:eastAsia="黑体"/>
          <w:sz w:val="48"/>
          <w:szCs w:val="48"/>
        </w:rPr>
      </w:pPr>
      <w:r>
        <w:rPr>
          <w:rFonts w:ascii="黑体" w:eastAsia="黑体" w:hint="eastAsia"/>
          <w:sz w:val="48"/>
          <w:szCs w:val="48"/>
        </w:rPr>
        <w:t>目</w:t>
      </w:r>
      <w:r>
        <w:rPr>
          <w:rFonts w:ascii="黑体" w:eastAsia="黑体" w:hint="eastAsia"/>
          <w:sz w:val="48"/>
          <w:szCs w:val="48"/>
        </w:rPr>
        <w:t xml:space="preserve">    </w:t>
      </w:r>
      <w:r>
        <w:rPr>
          <w:rFonts w:ascii="黑体" w:eastAsia="黑体" w:hint="eastAsia"/>
          <w:sz w:val="48"/>
          <w:szCs w:val="48"/>
        </w:rPr>
        <w:t>录</w:t>
      </w:r>
    </w:p>
    <w:p w:rsidR="00F26C76" w:rsidRDefault="00F26C76">
      <w:pPr>
        <w:widowControl/>
        <w:spacing w:line="580" w:lineRule="exact"/>
        <w:ind w:firstLineChars="200" w:firstLine="640"/>
        <w:rPr>
          <w:rFonts w:eastAsia="黑体"/>
          <w:sz w:val="32"/>
          <w:szCs w:val="32"/>
        </w:rPr>
      </w:pPr>
    </w:p>
    <w:p w:rsidR="00F26C76" w:rsidRDefault="00F71E32">
      <w:pPr>
        <w:widowControl/>
        <w:spacing w:line="580" w:lineRule="exact"/>
        <w:ind w:firstLineChars="200" w:firstLine="640"/>
        <w:rPr>
          <w:rFonts w:eastAsia="仿宋_GB2312"/>
          <w:sz w:val="24"/>
          <w:szCs w:val="32"/>
        </w:rPr>
      </w:pPr>
      <w:r>
        <w:rPr>
          <w:rFonts w:eastAsia="黑体"/>
          <w:sz w:val="32"/>
          <w:szCs w:val="32"/>
        </w:rPr>
        <w:t>第一部分部门概况</w:t>
      </w:r>
    </w:p>
    <w:p w:rsidR="00F26C76" w:rsidRDefault="00F71E32" w:rsidP="00F26C76">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F26C76" w:rsidRDefault="00F71E32" w:rsidP="00F26C76">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F26C76" w:rsidRDefault="00F71E32">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二、收入决算表</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三、支出决算表</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F26C76" w:rsidRDefault="00F71E32">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F26C76" w:rsidRDefault="00F71E32">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F26C76" w:rsidRDefault="00F71E32">
      <w:pPr>
        <w:widowControl/>
        <w:spacing w:line="580" w:lineRule="exact"/>
        <w:ind w:left="640" w:firstLineChars="200" w:firstLine="640"/>
        <w:rPr>
          <w:rFonts w:eastAsia="仿宋_GB2312"/>
          <w:sz w:val="32"/>
          <w:szCs w:val="32"/>
        </w:rPr>
      </w:pPr>
      <w:r>
        <w:rPr>
          <w:rFonts w:eastAsia="仿宋_GB2312" w:hint="eastAsia"/>
          <w:sz w:val="32"/>
          <w:szCs w:val="32"/>
        </w:rPr>
        <w:lastRenderedPageBreak/>
        <w:t>十</w:t>
      </w:r>
      <w:r>
        <w:rPr>
          <w:rFonts w:eastAsia="仿宋_GB2312"/>
          <w:sz w:val="32"/>
          <w:szCs w:val="32"/>
        </w:rPr>
        <w:t>、政府采购情况表</w:t>
      </w:r>
    </w:p>
    <w:p w:rsidR="00F26C76" w:rsidRDefault="00F26C76">
      <w:pPr>
        <w:widowControl/>
        <w:spacing w:line="580" w:lineRule="exact"/>
        <w:ind w:firstLineChars="200" w:firstLine="640"/>
        <w:rPr>
          <w:rFonts w:eastAsia="黑体"/>
          <w:sz w:val="32"/>
          <w:szCs w:val="32"/>
        </w:rPr>
      </w:pPr>
    </w:p>
    <w:p w:rsidR="00F26C76" w:rsidRDefault="00F71E32">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大城县住房保障与房产管理局</w:t>
      </w:r>
      <w:r>
        <w:rPr>
          <w:rFonts w:eastAsia="黑体"/>
          <w:sz w:val="32"/>
          <w:szCs w:val="32"/>
        </w:rPr>
        <w:t>201</w:t>
      </w:r>
      <w:r>
        <w:rPr>
          <w:rFonts w:eastAsia="黑体" w:hint="eastAsia"/>
          <w:sz w:val="32"/>
          <w:szCs w:val="32"/>
        </w:rPr>
        <w:t>8</w:t>
      </w:r>
      <w:r>
        <w:rPr>
          <w:rFonts w:eastAsia="黑体"/>
          <w:sz w:val="32"/>
          <w:szCs w:val="32"/>
        </w:rPr>
        <w:t>年部门决算情况说明</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F26C76" w:rsidRDefault="00F71E32">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F26C76" w:rsidRDefault="00F71E32">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F26C76" w:rsidRDefault="00F71E32">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F26C76" w:rsidRDefault="00F71E32">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F26C76" w:rsidRDefault="00F71E32">
      <w:pPr>
        <w:widowControl/>
        <w:spacing w:line="580" w:lineRule="exact"/>
        <w:ind w:firstLineChars="200" w:firstLine="640"/>
        <w:rPr>
          <w:rFonts w:eastAsia="黑体"/>
          <w:sz w:val="32"/>
          <w:szCs w:val="32"/>
        </w:rPr>
      </w:pPr>
      <w:r>
        <w:rPr>
          <w:rFonts w:eastAsia="黑体"/>
          <w:sz w:val="32"/>
          <w:szCs w:val="32"/>
        </w:rPr>
        <w:t>第四部分名词解释</w:t>
      </w:r>
    </w:p>
    <w:p w:rsidR="00F26C76" w:rsidRDefault="00F26C76">
      <w:pPr>
        <w:widowControl/>
        <w:spacing w:line="580" w:lineRule="exact"/>
        <w:ind w:firstLineChars="200" w:firstLine="640"/>
        <w:rPr>
          <w:rFonts w:eastAsia="黑体"/>
          <w:sz w:val="32"/>
          <w:szCs w:val="32"/>
        </w:rPr>
      </w:pPr>
    </w:p>
    <w:p w:rsidR="00F26C76" w:rsidRDefault="00F26C76">
      <w:pPr>
        <w:widowControl/>
        <w:spacing w:line="580" w:lineRule="exact"/>
        <w:ind w:firstLineChars="200" w:firstLine="640"/>
        <w:rPr>
          <w:rFonts w:eastAsia="黑体"/>
          <w:sz w:val="32"/>
          <w:szCs w:val="32"/>
        </w:rPr>
      </w:pPr>
    </w:p>
    <w:p w:rsidR="00F26C76" w:rsidRDefault="00F26C76">
      <w:pPr>
        <w:widowControl/>
        <w:spacing w:line="580" w:lineRule="exact"/>
        <w:ind w:firstLineChars="200" w:firstLine="640"/>
        <w:rPr>
          <w:rFonts w:eastAsia="黑体"/>
          <w:sz w:val="32"/>
          <w:szCs w:val="32"/>
        </w:rPr>
      </w:pPr>
    </w:p>
    <w:p w:rsidR="00F26C76" w:rsidRDefault="00F26C76">
      <w:pPr>
        <w:widowControl/>
        <w:spacing w:line="580" w:lineRule="exact"/>
        <w:ind w:firstLineChars="200" w:firstLine="640"/>
        <w:rPr>
          <w:rFonts w:eastAsia="黑体"/>
          <w:sz w:val="32"/>
          <w:szCs w:val="32"/>
        </w:rPr>
      </w:pPr>
    </w:p>
    <w:p w:rsidR="00F26C76" w:rsidRDefault="00F71E32">
      <w:r>
        <w:br w:type="page"/>
      </w:r>
    </w:p>
    <w:p w:rsidR="00F26C76" w:rsidRDefault="00F26C76"/>
    <w:p w:rsidR="00F26C76" w:rsidRDefault="00F26C76"/>
    <w:p w:rsidR="00F26C76" w:rsidRDefault="00F26C76"/>
    <w:p w:rsidR="00F26C76" w:rsidRDefault="00F26C76"/>
    <w:p w:rsidR="00F26C76" w:rsidRDefault="00F26C76"/>
    <w:p w:rsidR="00F26C76" w:rsidRDefault="00F26C76"/>
    <w:p w:rsidR="00F26C76" w:rsidRDefault="00F71E32">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w:t>
      </w:r>
      <w:r>
        <w:rPr>
          <w:rFonts w:asciiTheme="minorEastAsia" w:eastAsiaTheme="minorEastAsia" w:hAnsi="宋体" w:hint="eastAsia"/>
          <w:color w:val="000000" w:themeColor="text1"/>
          <w:sz w:val="96"/>
          <w:szCs w:val="96"/>
        </w:rPr>
        <w:t xml:space="preserve">  </w:t>
      </w:r>
      <w:r>
        <w:rPr>
          <w:rFonts w:asciiTheme="minorEastAsia" w:eastAsiaTheme="minorEastAsia" w:hAnsi="宋体" w:hint="eastAsia"/>
          <w:color w:val="000000" w:themeColor="text1"/>
          <w:sz w:val="96"/>
          <w:szCs w:val="96"/>
        </w:rPr>
        <w:t>部门概况</w:t>
      </w:r>
    </w:p>
    <w:p w:rsidR="00F26C76" w:rsidRDefault="00F26C76"/>
    <w:p w:rsidR="00F26C76" w:rsidRDefault="00F26C76"/>
    <w:p w:rsidR="00F26C76" w:rsidRDefault="00F26C76"/>
    <w:p w:rsidR="00F26C76" w:rsidRDefault="00F26C76"/>
    <w:p w:rsidR="00F26C76" w:rsidRDefault="00F26C76"/>
    <w:p w:rsidR="00F26C76" w:rsidRDefault="00F26C76"/>
    <w:p w:rsidR="00F26C76" w:rsidRDefault="00F26C76"/>
    <w:p w:rsidR="00F26C76" w:rsidRDefault="00F26C76"/>
    <w:p w:rsidR="00F26C76" w:rsidRDefault="00F71E32">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F26C76" w:rsidRDefault="00F71E32">
      <w:pPr>
        <w:ind w:leftChars="50" w:left="105"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（一）宣传贯彻《中华人民共和国城市房是产管理法》，参照该法及有关法律、法规，制定适合我县实际情况的房产管理规章、管理办法等。</w:t>
      </w:r>
    </w:p>
    <w:p w:rsidR="00F26C76" w:rsidRDefault="00F71E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（二）负责指导和管理全县房地产业工作。</w:t>
      </w:r>
    </w:p>
    <w:p w:rsidR="00F26C76" w:rsidRDefault="00F71E32">
      <w:pPr>
        <w:ind w:leftChars="50" w:left="105"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（三）制定全县建设计划，商品房开发计划，经济适用住房建设计划，编制住宅建设，商品房开发，经济适用住房建设的中、长期发展规划并组织实施。</w:t>
      </w:r>
    </w:p>
    <w:p w:rsidR="00F26C76" w:rsidRDefault="00F71E32">
      <w:pPr>
        <w:ind w:leftChars="50" w:left="105"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（四）负责全县房产开发企业，物业管理企业资质的审查申报和商品房出售等经营行为的监督管理。</w:t>
      </w:r>
    </w:p>
    <w:p w:rsidR="00F26C76" w:rsidRDefault="00F71E32">
      <w:pPr>
        <w:ind w:leftChars="50" w:left="105"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（五）管理全县房产交易市场，制定我县房产交易市场管理办法、规章等，规范房产交易行为，办理全县范围内的房产交易及租赁事宜。</w:t>
      </w:r>
    </w:p>
    <w:p w:rsidR="00F26C76" w:rsidRDefault="00F71E32">
      <w:pPr>
        <w:ind w:leftChars="50" w:left="105"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（六）统一管理全县住宅的工发建设，确保住宅建设的质量。负责直管公产住宅的建设和管理；负责城区内住宅小区的物业管理工作和其它有关管理工作。</w:t>
      </w:r>
    </w:p>
    <w:p w:rsidR="00F26C76" w:rsidRDefault="00F71E32">
      <w:pPr>
        <w:ind w:leftChars="50" w:left="105"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（七）全县住房制度改革工作，制定房改政策，检查指导全县房改工作。</w:t>
      </w:r>
    </w:p>
    <w:p w:rsidR="00F26C76" w:rsidRDefault="00F71E32">
      <w:pPr>
        <w:ind w:leftChars="50" w:left="105"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（八）负责调解和配合有关部门仲裁房产纠纷，制止和纠正住房中违法行为；负责危房鉴定工作。</w:t>
      </w:r>
    </w:p>
    <w:p w:rsidR="00F26C76" w:rsidRDefault="00F71E3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（九）负责全县各类房屋和租赁管理工作，办理房屋租赁许可证。</w:t>
      </w:r>
    </w:p>
    <w:p w:rsidR="00F26C76" w:rsidRDefault="00F71E32">
      <w:pPr>
        <w:autoSpaceDE w:val="0"/>
        <w:autoSpaceDN w:val="0"/>
        <w:snapToGrid w:val="0"/>
        <w:spacing w:line="58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（十）承办县政府交办的其他事项</w:t>
      </w:r>
    </w:p>
    <w:p w:rsidR="00F26C76" w:rsidRDefault="00F71E32">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F26C76" w:rsidRDefault="00F71E32">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w:t>
      </w:r>
      <w:r>
        <w:rPr>
          <w:rFonts w:ascii="仿宋_GB2312" w:eastAsia="仿宋_GB2312" w:hAnsiTheme="minorHAnsi" w:cs="ArialUnicodeMS" w:hint="eastAsia"/>
          <w:kern w:val="0"/>
          <w:sz w:val="32"/>
          <w:szCs w:val="32"/>
        </w:rPr>
        <w:t xml:space="preserve">2018 </w:t>
      </w:r>
      <w:r>
        <w:rPr>
          <w:rFonts w:ascii="仿宋_GB2312" w:eastAsia="仿宋_GB2312" w:hAnsiTheme="minorHAnsi" w:cs="ArialUnicodeMS" w:hint="eastAsia"/>
          <w:kern w:val="0"/>
          <w:sz w:val="32"/>
          <w:szCs w:val="32"/>
        </w:rPr>
        <w:t>年度本部门决算汇编范围的独立核算单位（以下简称“单位”）共</w:t>
      </w:r>
      <w:r>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F26C76">
        <w:trPr>
          <w:trHeight w:val="811"/>
          <w:jc w:val="center"/>
        </w:trPr>
        <w:tc>
          <w:tcPr>
            <w:tcW w:w="985" w:type="dxa"/>
            <w:vAlign w:val="center"/>
          </w:tcPr>
          <w:p w:rsidR="00F26C76" w:rsidRDefault="00F71E32">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F26C76" w:rsidRDefault="00F71E32">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F26C76" w:rsidRDefault="00F71E32">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F26C76" w:rsidRDefault="00F71E32">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F26C76">
        <w:trPr>
          <w:trHeight w:val="596"/>
          <w:jc w:val="center"/>
        </w:trPr>
        <w:tc>
          <w:tcPr>
            <w:tcW w:w="985" w:type="dxa"/>
          </w:tcPr>
          <w:p w:rsidR="00F26C76" w:rsidRDefault="00F71E32">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F26C76" w:rsidRDefault="00F71E32">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大城县住房保障与房产管理局</w:t>
            </w:r>
            <w:r>
              <w:rPr>
                <w:rFonts w:ascii="仿宋_GB2312" w:eastAsia="仿宋_GB2312" w:hAnsiTheme="minorHAnsi" w:cs="ArialUnicodeMS" w:hint="eastAsia"/>
                <w:kern w:val="0"/>
                <w:sz w:val="28"/>
                <w:szCs w:val="28"/>
              </w:rPr>
              <w:t>(</w:t>
            </w:r>
            <w:r>
              <w:rPr>
                <w:rFonts w:ascii="仿宋_GB2312" w:eastAsia="仿宋_GB2312" w:hAnsiTheme="minorHAnsi" w:cs="ArialUnicodeMS" w:hint="eastAsia"/>
                <w:kern w:val="0"/>
                <w:sz w:val="28"/>
                <w:szCs w:val="28"/>
              </w:rPr>
              <w:t>本级</w:t>
            </w:r>
            <w:r>
              <w:rPr>
                <w:rFonts w:ascii="仿宋_GB2312" w:eastAsia="仿宋_GB2312" w:hAnsiTheme="minorHAnsi" w:cs="ArialUnicodeMS" w:hint="eastAsia"/>
                <w:kern w:val="0"/>
                <w:sz w:val="28"/>
                <w:szCs w:val="28"/>
              </w:rPr>
              <w:t>)</w:t>
            </w:r>
          </w:p>
        </w:tc>
        <w:tc>
          <w:tcPr>
            <w:tcW w:w="2445" w:type="dxa"/>
          </w:tcPr>
          <w:p w:rsidR="00F26C76" w:rsidRDefault="00F71E32">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参公事业单位</w:t>
            </w:r>
          </w:p>
        </w:tc>
        <w:tc>
          <w:tcPr>
            <w:tcW w:w="2665" w:type="dxa"/>
          </w:tcPr>
          <w:p w:rsidR="00F26C76" w:rsidRDefault="00F71E32">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F26C76">
        <w:trPr>
          <w:trHeight w:val="596"/>
          <w:jc w:val="center"/>
        </w:trPr>
        <w:tc>
          <w:tcPr>
            <w:tcW w:w="985" w:type="dxa"/>
          </w:tcPr>
          <w:p w:rsidR="00F26C76" w:rsidRDefault="00F71E32">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2</w:t>
            </w:r>
          </w:p>
        </w:tc>
        <w:tc>
          <w:tcPr>
            <w:tcW w:w="3485" w:type="dxa"/>
          </w:tcPr>
          <w:p w:rsidR="00F26C76" w:rsidRDefault="00F26C76">
            <w:pPr>
              <w:spacing w:after="0" w:line="560" w:lineRule="exact"/>
              <w:rPr>
                <w:rFonts w:ascii="仿宋_GB2312" w:eastAsia="仿宋_GB2312" w:hAnsiTheme="minorHAnsi" w:cs="ArialUnicodeMS"/>
                <w:kern w:val="0"/>
                <w:sz w:val="28"/>
                <w:szCs w:val="28"/>
              </w:rPr>
            </w:pPr>
          </w:p>
        </w:tc>
        <w:tc>
          <w:tcPr>
            <w:tcW w:w="2445" w:type="dxa"/>
          </w:tcPr>
          <w:p w:rsidR="00F26C76" w:rsidRDefault="00F26C76">
            <w:pPr>
              <w:spacing w:after="0" w:line="560" w:lineRule="exact"/>
              <w:jc w:val="center"/>
              <w:rPr>
                <w:rFonts w:ascii="仿宋_GB2312" w:eastAsia="仿宋_GB2312" w:hAnsiTheme="minorHAnsi" w:cs="ArialUnicodeMS"/>
                <w:kern w:val="0"/>
                <w:sz w:val="28"/>
                <w:szCs w:val="28"/>
              </w:rPr>
            </w:pPr>
          </w:p>
        </w:tc>
        <w:tc>
          <w:tcPr>
            <w:tcW w:w="2665" w:type="dxa"/>
          </w:tcPr>
          <w:p w:rsidR="00F26C76" w:rsidRDefault="00F26C76">
            <w:pPr>
              <w:spacing w:after="0" w:line="560" w:lineRule="exact"/>
              <w:jc w:val="center"/>
              <w:rPr>
                <w:rFonts w:ascii="仿宋_GB2312" w:eastAsia="仿宋_GB2312" w:hAnsiTheme="minorHAnsi" w:cs="ArialUnicodeMS"/>
                <w:kern w:val="0"/>
                <w:sz w:val="28"/>
                <w:szCs w:val="28"/>
              </w:rPr>
            </w:pPr>
          </w:p>
        </w:tc>
      </w:tr>
      <w:tr w:rsidR="00F26C76">
        <w:trPr>
          <w:trHeight w:val="596"/>
          <w:jc w:val="center"/>
        </w:trPr>
        <w:tc>
          <w:tcPr>
            <w:tcW w:w="985" w:type="dxa"/>
          </w:tcPr>
          <w:p w:rsidR="00F26C76" w:rsidRDefault="00F71E32">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3</w:t>
            </w:r>
          </w:p>
        </w:tc>
        <w:tc>
          <w:tcPr>
            <w:tcW w:w="3485" w:type="dxa"/>
          </w:tcPr>
          <w:p w:rsidR="00F26C76" w:rsidRDefault="00F26C76">
            <w:pPr>
              <w:spacing w:after="0" w:line="560" w:lineRule="exact"/>
              <w:rPr>
                <w:rFonts w:ascii="仿宋_GB2312" w:eastAsia="仿宋_GB2312" w:hAnsiTheme="minorHAnsi" w:cs="ArialUnicodeMS"/>
                <w:kern w:val="0"/>
                <w:sz w:val="28"/>
                <w:szCs w:val="28"/>
              </w:rPr>
            </w:pPr>
          </w:p>
        </w:tc>
        <w:tc>
          <w:tcPr>
            <w:tcW w:w="2445" w:type="dxa"/>
          </w:tcPr>
          <w:p w:rsidR="00F26C76" w:rsidRDefault="00F26C76">
            <w:pPr>
              <w:spacing w:after="0" w:line="560" w:lineRule="exact"/>
              <w:jc w:val="center"/>
              <w:rPr>
                <w:rFonts w:ascii="仿宋_GB2312" w:eastAsia="仿宋_GB2312" w:hAnsiTheme="minorHAnsi" w:cs="ArialUnicodeMS"/>
                <w:kern w:val="0"/>
                <w:sz w:val="28"/>
                <w:szCs w:val="28"/>
              </w:rPr>
            </w:pPr>
          </w:p>
        </w:tc>
        <w:tc>
          <w:tcPr>
            <w:tcW w:w="2665" w:type="dxa"/>
          </w:tcPr>
          <w:p w:rsidR="00F26C76" w:rsidRDefault="00F26C76">
            <w:pPr>
              <w:spacing w:after="0" w:line="560" w:lineRule="exact"/>
              <w:jc w:val="center"/>
              <w:rPr>
                <w:rFonts w:ascii="仿宋_GB2312" w:eastAsia="仿宋_GB2312" w:hAnsiTheme="minorHAnsi" w:cs="ArialUnicodeMS"/>
                <w:kern w:val="0"/>
                <w:sz w:val="28"/>
                <w:szCs w:val="28"/>
              </w:rPr>
            </w:pPr>
          </w:p>
        </w:tc>
      </w:tr>
      <w:tr w:rsidR="00F26C76">
        <w:trPr>
          <w:trHeight w:val="606"/>
          <w:jc w:val="center"/>
        </w:trPr>
        <w:tc>
          <w:tcPr>
            <w:tcW w:w="985" w:type="dxa"/>
            <w:tcBorders>
              <w:bottom w:val="single" w:sz="4" w:space="0" w:color="auto"/>
            </w:tcBorders>
          </w:tcPr>
          <w:p w:rsidR="00F26C76" w:rsidRDefault="00F71E32">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3485" w:type="dxa"/>
            <w:tcBorders>
              <w:bottom w:val="single" w:sz="4" w:space="0" w:color="auto"/>
            </w:tcBorders>
          </w:tcPr>
          <w:p w:rsidR="00F26C76" w:rsidRDefault="00F71E32">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2445" w:type="dxa"/>
            <w:tcBorders>
              <w:bottom w:val="single" w:sz="4" w:space="0" w:color="auto"/>
            </w:tcBorders>
          </w:tcPr>
          <w:p w:rsidR="00F26C76" w:rsidRDefault="00F26C76">
            <w:pPr>
              <w:spacing w:after="0" w:line="560" w:lineRule="exact"/>
              <w:jc w:val="center"/>
              <w:rPr>
                <w:rFonts w:ascii="仿宋_GB2312" w:eastAsia="仿宋_GB2312" w:hAnsiTheme="minorHAnsi" w:cs="ArialUnicodeMS"/>
                <w:kern w:val="0"/>
                <w:sz w:val="28"/>
                <w:szCs w:val="28"/>
              </w:rPr>
            </w:pPr>
          </w:p>
        </w:tc>
        <w:tc>
          <w:tcPr>
            <w:tcW w:w="2665" w:type="dxa"/>
            <w:tcBorders>
              <w:bottom w:val="single" w:sz="4" w:space="0" w:color="auto"/>
            </w:tcBorders>
          </w:tcPr>
          <w:p w:rsidR="00F26C76" w:rsidRDefault="00F26C76">
            <w:pPr>
              <w:spacing w:after="0" w:line="560" w:lineRule="exact"/>
              <w:jc w:val="center"/>
              <w:rPr>
                <w:rFonts w:ascii="仿宋_GB2312" w:eastAsia="仿宋_GB2312" w:hAnsiTheme="minorHAnsi" w:cs="ArialUnicodeMS"/>
                <w:kern w:val="0"/>
                <w:sz w:val="28"/>
                <w:szCs w:val="28"/>
              </w:rPr>
            </w:pPr>
          </w:p>
        </w:tc>
      </w:tr>
      <w:tr w:rsidR="00F26C76">
        <w:trPr>
          <w:trHeight w:val="606"/>
          <w:jc w:val="center"/>
        </w:trPr>
        <w:tc>
          <w:tcPr>
            <w:tcW w:w="9580" w:type="dxa"/>
            <w:gridSpan w:val="4"/>
            <w:tcBorders>
              <w:top w:val="single" w:sz="4" w:space="0" w:color="auto"/>
              <w:left w:val="nil"/>
              <w:bottom w:val="nil"/>
              <w:right w:val="nil"/>
            </w:tcBorders>
          </w:tcPr>
          <w:p w:rsidR="00F26C76" w:rsidRDefault="00F26C76">
            <w:pPr>
              <w:spacing w:after="0" w:line="560" w:lineRule="exact"/>
              <w:ind w:firstLineChars="200" w:firstLine="560"/>
              <w:jc w:val="left"/>
              <w:rPr>
                <w:rFonts w:ascii="仿宋_GB2312" w:eastAsia="仿宋_GB2312" w:hAnsiTheme="minorHAnsi" w:cs="ArialUnicodeMS"/>
                <w:kern w:val="0"/>
                <w:sz w:val="28"/>
                <w:szCs w:val="28"/>
              </w:rPr>
            </w:pPr>
          </w:p>
        </w:tc>
      </w:tr>
    </w:tbl>
    <w:p w:rsidR="00F26C76" w:rsidRDefault="00F26C76">
      <w:pPr>
        <w:widowControl/>
        <w:spacing w:line="560" w:lineRule="exact"/>
        <w:rPr>
          <w:rFonts w:ascii="黑体" w:eastAsia="黑体" w:hAnsiTheme="minorHAnsi" w:cs="MS-UIGothic,Bold"/>
          <w:bCs/>
          <w:kern w:val="0"/>
          <w:sz w:val="52"/>
          <w:szCs w:val="52"/>
        </w:rPr>
      </w:pPr>
    </w:p>
    <w:p w:rsidR="00F26C76" w:rsidRDefault="00F26C76">
      <w:pPr>
        <w:widowControl/>
        <w:spacing w:line="560" w:lineRule="exact"/>
        <w:jc w:val="center"/>
        <w:rPr>
          <w:rFonts w:ascii="黑体" w:eastAsia="黑体" w:hAnsiTheme="minorHAnsi" w:cs="MS-UIGothic,Bold"/>
          <w:bCs/>
          <w:kern w:val="0"/>
          <w:sz w:val="52"/>
          <w:szCs w:val="52"/>
        </w:rPr>
        <w:sectPr w:rsidR="00F26C76">
          <w:pgSz w:w="11906" w:h="16838"/>
          <w:pgMar w:top="2098" w:right="1474" w:bottom="1984" w:left="1588" w:header="851" w:footer="992" w:gutter="0"/>
          <w:cols w:space="0"/>
          <w:docGrid w:type="lines" w:linePitch="312"/>
        </w:sectPr>
      </w:pPr>
    </w:p>
    <w:p w:rsidR="00F26C76" w:rsidRDefault="00F26C76">
      <w:pPr>
        <w:widowControl/>
        <w:spacing w:line="1200" w:lineRule="exact"/>
        <w:jc w:val="center"/>
        <w:rPr>
          <w:rFonts w:asciiTheme="minorEastAsia" w:eastAsiaTheme="minorEastAsia" w:hAnsi="宋体"/>
          <w:color w:val="000000" w:themeColor="text1"/>
          <w:sz w:val="72"/>
          <w:szCs w:val="96"/>
        </w:rPr>
      </w:pPr>
    </w:p>
    <w:p w:rsidR="00F26C76" w:rsidRDefault="00F26C76">
      <w:pPr>
        <w:widowControl/>
        <w:spacing w:line="1200" w:lineRule="exact"/>
        <w:jc w:val="center"/>
        <w:rPr>
          <w:rFonts w:asciiTheme="minorEastAsia" w:eastAsiaTheme="minorEastAsia" w:hAnsi="宋体"/>
          <w:color w:val="000000" w:themeColor="text1"/>
          <w:sz w:val="72"/>
          <w:szCs w:val="96"/>
        </w:rPr>
      </w:pPr>
    </w:p>
    <w:p w:rsidR="00F26C76" w:rsidRDefault="00F26C76">
      <w:pPr>
        <w:widowControl/>
        <w:spacing w:line="1200" w:lineRule="exact"/>
        <w:jc w:val="center"/>
        <w:rPr>
          <w:rFonts w:asciiTheme="minorEastAsia" w:eastAsiaTheme="minorEastAsia" w:hAnsi="宋体"/>
          <w:color w:val="000000" w:themeColor="text1"/>
          <w:sz w:val="72"/>
          <w:szCs w:val="96"/>
        </w:rPr>
      </w:pPr>
    </w:p>
    <w:p w:rsidR="00F26C76" w:rsidRDefault="00F71E32">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F26C76" w:rsidRDefault="00F71E32">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w:t>
      </w:r>
      <w:r>
        <w:rPr>
          <w:rFonts w:asciiTheme="minorEastAsia" w:eastAsiaTheme="minorEastAsia" w:hAnsi="宋体" w:hint="eastAsia"/>
          <w:color w:val="000000" w:themeColor="text1"/>
          <w:sz w:val="72"/>
          <w:szCs w:val="96"/>
        </w:rPr>
        <w:t>年度部门决算报表</w:t>
      </w:r>
    </w:p>
    <w:p w:rsidR="00F26C76" w:rsidRDefault="00F26C76">
      <w:pPr>
        <w:widowControl/>
        <w:spacing w:line="560" w:lineRule="exact"/>
        <w:jc w:val="center"/>
        <w:rPr>
          <w:rFonts w:ascii="黑体" w:eastAsia="黑体" w:hAnsiTheme="minorHAnsi" w:cs="MS-UIGothic,Bold"/>
          <w:bCs/>
          <w:kern w:val="0"/>
          <w:sz w:val="52"/>
          <w:szCs w:val="52"/>
        </w:rPr>
      </w:pPr>
    </w:p>
    <w:p w:rsidR="00F26C76" w:rsidRDefault="00F26C76">
      <w:pPr>
        <w:widowControl/>
        <w:spacing w:line="560" w:lineRule="exact"/>
        <w:jc w:val="center"/>
        <w:rPr>
          <w:rFonts w:ascii="黑体" w:eastAsia="黑体" w:hAnsiTheme="minorHAnsi" w:cs="MS-UIGothic,Bold"/>
          <w:bCs/>
          <w:kern w:val="0"/>
          <w:sz w:val="52"/>
          <w:szCs w:val="52"/>
        </w:rPr>
      </w:pPr>
    </w:p>
    <w:p w:rsidR="00F26C76" w:rsidRDefault="00F26C76">
      <w:pPr>
        <w:rPr>
          <w:rFonts w:ascii="宋体" w:hAnsi="宋体" w:cs="ArialUnicodeMS"/>
          <w:color w:val="000000"/>
          <w:kern w:val="0"/>
        </w:rPr>
      </w:pPr>
    </w:p>
    <w:p w:rsidR="00F26C76" w:rsidRDefault="00F26C76">
      <w:pPr>
        <w:rPr>
          <w:rFonts w:ascii="宋体" w:hAnsi="宋体" w:cs="ArialUnicodeMS"/>
          <w:color w:val="000000"/>
          <w:kern w:val="0"/>
        </w:rPr>
        <w:sectPr w:rsidR="00F26C76">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F26C76">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F26C76" w:rsidRDefault="00F71E32">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F26C76">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F26C76" w:rsidRDefault="00F26C76">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F26C76" w:rsidRDefault="00F26C76">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F26C76">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F26C76" w:rsidRDefault="00F71E32">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rsidR="00F26C76" w:rsidRDefault="00F26C76">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F26C76" w:rsidRDefault="00F26C76">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F26C76" w:rsidRDefault="00F26C76">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F26C76" w:rsidRDefault="00F26C76">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F26C76">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F26C76">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F26C76">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F26C76">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2638.50</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23.90</w:t>
            </w: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11.53</w:t>
            </w: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1952.88</w:t>
            </w: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2.13</w:t>
            </w: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2638.50</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1990.44</w:t>
            </w:r>
          </w:p>
        </w:tc>
      </w:tr>
      <w:tr w:rsidR="00F26C76">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00" w:lineRule="exact"/>
              <w:jc w:val="right"/>
              <w:rPr>
                <w:rFonts w:ascii="宋体" w:hAnsi="宋体" w:cs="宋体"/>
                <w:color w:val="000000"/>
                <w:sz w:val="20"/>
                <w:szCs w:val="20"/>
              </w:rPr>
            </w:pP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12.08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660.13</w:t>
            </w:r>
          </w:p>
        </w:tc>
      </w:tr>
      <w:tr w:rsidR="00F26C76">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2650.58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2650.58</w:t>
            </w:r>
          </w:p>
        </w:tc>
      </w:tr>
      <w:tr w:rsidR="00F26C76">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F26C76" w:rsidRDefault="00F71E32">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F26C76" w:rsidRDefault="00F26C76">
      <w:pPr>
        <w:widowControl/>
        <w:spacing w:after="0" w:line="560" w:lineRule="exact"/>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335"/>
        <w:gridCol w:w="179"/>
        <w:gridCol w:w="432"/>
        <w:gridCol w:w="1605"/>
        <w:gridCol w:w="334"/>
        <w:gridCol w:w="260"/>
        <w:gridCol w:w="366"/>
        <w:gridCol w:w="449"/>
        <w:gridCol w:w="511"/>
        <w:gridCol w:w="305"/>
        <w:gridCol w:w="430"/>
        <w:gridCol w:w="385"/>
        <w:gridCol w:w="442"/>
        <w:gridCol w:w="373"/>
        <w:gridCol w:w="548"/>
        <w:gridCol w:w="920"/>
        <w:gridCol w:w="926"/>
      </w:tblGrid>
      <w:tr w:rsidR="00F26C76">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F26C76" w:rsidRDefault="00F71E32">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F26C76">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432"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605"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334"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02</w:t>
            </w:r>
            <w:r>
              <w:rPr>
                <w:rFonts w:ascii="宋体" w:hAnsi="宋体" w:cs="宋体" w:hint="eastAsia"/>
                <w:color w:val="000000"/>
                <w:kern w:val="0"/>
                <w:szCs w:val="21"/>
              </w:rPr>
              <w:t>表</w:t>
            </w:r>
          </w:p>
        </w:tc>
      </w:tr>
      <w:tr w:rsidR="00F26C76">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26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26C76">
        <w:trPr>
          <w:trHeight w:val="325"/>
          <w:jc w:val="center"/>
        </w:trPr>
        <w:tc>
          <w:tcPr>
            <w:tcW w:w="2551"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60"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60"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735"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827"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F26C76">
        <w:trPr>
          <w:trHeight w:val="626"/>
          <w:jc w:val="center"/>
        </w:trPr>
        <w:tc>
          <w:tcPr>
            <w:tcW w:w="94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605"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60" w:type="dxa"/>
            <w:gridSpan w:val="3"/>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 w:val="20"/>
                <w:szCs w:val="20"/>
              </w:rPr>
            </w:pPr>
          </w:p>
        </w:tc>
        <w:tc>
          <w:tcPr>
            <w:tcW w:w="960"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textAlignment w:val="center"/>
              <w:rPr>
                <w:rFonts w:ascii="宋体" w:hAnsi="宋体" w:cs="宋体"/>
                <w:color w:val="000000"/>
                <w:kern w:val="0"/>
                <w:sz w:val="20"/>
                <w:szCs w:val="20"/>
              </w:rPr>
            </w:pPr>
          </w:p>
        </w:tc>
        <w:tc>
          <w:tcPr>
            <w:tcW w:w="735"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textAlignment w:val="center"/>
              <w:rPr>
                <w:rFonts w:ascii="宋体" w:hAnsi="宋体" w:cs="宋体"/>
                <w:color w:val="000000"/>
                <w:kern w:val="0"/>
                <w:sz w:val="20"/>
                <w:szCs w:val="20"/>
              </w:rPr>
            </w:pPr>
          </w:p>
        </w:tc>
        <w:tc>
          <w:tcPr>
            <w:tcW w:w="827"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textAlignment w:val="center"/>
              <w:rPr>
                <w:rFonts w:ascii="宋体" w:hAnsi="宋体" w:cs="宋体"/>
                <w:color w:val="000000"/>
                <w:kern w:val="0"/>
                <w:sz w:val="20"/>
                <w:szCs w:val="20"/>
              </w:rPr>
            </w:pPr>
          </w:p>
        </w:tc>
        <w:tc>
          <w:tcPr>
            <w:tcW w:w="920"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F26C76" w:rsidRDefault="00F26C76">
            <w:pPr>
              <w:widowControl/>
              <w:spacing w:after="0" w:line="240" w:lineRule="atLeast"/>
              <w:jc w:val="center"/>
              <w:textAlignment w:val="center"/>
              <w:rPr>
                <w:rFonts w:ascii="宋体" w:hAnsi="宋体" w:cs="宋体"/>
                <w:color w:val="000000"/>
                <w:kern w:val="0"/>
                <w:sz w:val="20"/>
                <w:szCs w:val="20"/>
              </w:rPr>
            </w:pPr>
          </w:p>
        </w:tc>
      </w:tr>
      <w:tr w:rsidR="00F26C76">
        <w:trPr>
          <w:trHeight w:val="391"/>
          <w:jc w:val="center"/>
        </w:trPr>
        <w:tc>
          <w:tcPr>
            <w:tcW w:w="2551"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F26C76">
        <w:trPr>
          <w:trHeight w:val="90"/>
          <w:jc w:val="center"/>
        </w:trPr>
        <w:tc>
          <w:tcPr>
            <w:tcW w:w="2551"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6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b/>
                <w:color w:val="000000"/>
                <w:sz w:val="18"/>
                <w:szCs w:val="18"/>
              </w:rPr>
            </w:pPr>
            <w:r>
              <w:rPr>
                <w:rFonts w:ascii="宋体" w:hAnsi="宋体" w:cs="宋体" w:hint="eastAsia"/>
                <w:b/>
                <w:color w:val="000000"/>
                <w:kern w:val="0"/>
                <w:sz w:val="22"/>
                <w:szCs w:val="22"/>
              </w:rPr>
              <w:t>2,638.50</w:t>
            </w:r>
          </w:p>
        </w:tc>
        <w:tc>
          <w:tcPr>
            <w:tcW w:w="96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b/>
                <w:color w:val="000000"/>
                <w:sz w:val="18"/>
                <w:szCs w:val="18"/>
              </w:rPr>
            </w:pPr>
            <w:r>
              <w:rPr>
                <w:rFonts w:ascii="宋体" w:hAnsi="宋体" w:cs="宋体" w:hint="eastAsia"/>
                <w:b/>
                <w:color w:val="000000"/>
                <w:kern w:val="0"/>
                <w:sz w:val="22"/>
                <w:szCs w:val="22"/>
              </w:rPr>
              <w:t>2,638.50</w:t>
            </w:r>
          </w:p>
        </w:tc>
        <w:tc>
          <w:tcPr>
            <w:tcW w:w="735"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b/>
                <w:color w:val="000000"/>
                <w:sz w:val="18"/>
                <w:szCs w:val="18"/>
              </w:rPr>
            </w:pPr>
          </w:p>
        </w:tc>
        <w:tc>
          <w:tcPr>
            <w:tcW w:w="827"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b/>
                <w:color w:val="000000"/>
                <w:sz w:val="18"/>
                <w:szCs w:val="18"/>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社会保障和就业支出</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24.73</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24.73</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行政事业单位离退休</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24.73</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24.73</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机关事业单位基本养老保险缴费支出</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24.73</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24.73</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医疗卫生与计划生育支出</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行政事业单位医疗</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2101102</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事业单位医疗</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lastRenderedPageBreak/>
              <w:t>212</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城乡社区支出</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2,011.81</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2,011.81</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21201</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城乡社区管理事务</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2,011.81</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2,011.81</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2120101</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行政运行</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805.74</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805.74</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2120102</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一般行政管理事务</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1,206.08</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1,206.08</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住房保障支出</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590.42</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590.42</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22101</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保障性安居工程支出</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590.42</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590.42</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2210106</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公共租赁住房</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206.44</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206.44</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371"/>
          <w:jc w:val="center"/>
        </w:trPr>
        <w:tc>
          <w:tcPr>
            <w:tcW w:w="9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rPr>
                <w:rFonts w:ascii="宋体" w:hAnsi="宋体" w:cs="宋体"/>
                <w:color w:val="000000"/>
                <w:szCs w:val="21"/>
              </w:rPr>
            </w:pPr>
            <w:r>
              <w:rPr>
                <w:rFonts w:ascii="宋体" w:hAnsi="宋体" w:cs="宋体" w:hint="eastAsia"/>
                <w:color w:val="000000"/>
                <w:szCs w:val="21"/>
              </w:rPr>
              <w:t>2210199</w:t>
            </w:r>
          </w:p>
        </w:tc>
        <w:tc>
          <w:tcPr>
            <w:tcW w:w="16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其他保障性安居工程支出</w:t>
            </w:r>
          </w:p>
        </w:tc>
        <w:tc>
          <w:tcPr>
            <w:tcW w:w="96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383.98</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383.98</w:t>
            </w:r>
          </w:p>
        </w:tc>
        <w:tc>
          <w:tcPr>
            <w:tcW w:w="7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82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F26C76" w:rsidRDefault="00F26C76">
      <w:pPr>
        <w:widowControl/>
        <w:spacing w:after="0" w:line="560" w:lineRule="exact"/>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tblPr>
      <w:tblGrid>
        <w:gridCol w:w="290"/>
        <w:gridCol w:w="289"/>
        <w:gridCol w:w="704"/>
        <w:gridCol w:w="1410"/>
        <w:gridCol w:w="453"/>
        <w:gridCol w:w="642"/>
        <w:gridCol w:w="476"/>
        <w:gridCol w:w="514"/>
        <w:gridCol w:w="606"/>
        <w:gridCol w:w="365"/>
        <w:gridCol w:w="753"/>
        <w:gridCol w:w="331"/>
        <w:gridCol w:w="789"/>
        <w:gridCol w:w="294"/>
        <w:gridCol w:w="1084"/>
      </w:tblGrid>
      <w:tr w:rsidR="00F26C76">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F26C76">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704"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41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453"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03</w:t>
            </w:r>
            <w:r>
              <w:rPr>
                <w:rFonts w:ascii="宋体" w:hAnsi="宋体" w:cs="宋体" w:hint="eastAsia"/>
                <w:color w:val="000000"/>
                <w:kern w:val="0"/>
                <w:szCs w:val="21"/>
              </w:rPr>
              <w:t>表</w:t>
            </w:r>
          </w:p>
        </w:tc>
      </w:tr>
      <w:tr w:rsidR="00F26C76">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26C76">
        <w:trPr>
          <w:trHeight w:val="837"/>
        </w:trPr>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95"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990"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971"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tcBorders>
              <w:top w:val="single" w:sz="4" w:space="0" w:color="000000"/>
              <w:left w:val="nil"/>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F26C76">
        <w:trPr>
          <w:trHeight w:val="782"/>
        </w:trPr>
        <w:tc>
          <w:tcPr>
            <w:tcW w:w="128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95"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990"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971"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1084"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1083"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1084" w:type="dxa"/>
            <w:tcBorders>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r>
      <w:tr w:rsidR="00F26C76">
        <w:trPr>
          <w:trHeight w:val="395"/>
        </w:trPr>
        <w:tc>
          <w:tcPr>
            <w:tcW w:w="269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9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99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97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F26C76">
        <w:trPr>
          <w:trHeight w:val="440"/>
        </w:trPr>
        <w:tc>
          <w:tcPr>
            <w:tcW w:w="269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b/>
                <w:color w:val="000000"/>
                <w:szCs w:val="21"/>
              </w:rPr>
            </w:pPr>
            <w:r>
              <w:rPr>
                <w:rFonts w:ascii="宋体" w:hAnsi="宋体" w:cs="宋体" w:hint="eastAsia"/>
                <w:b/>
                <w:color w:val="000000"/>
                <w:kern w:val="0"/>
                <w:sz w:val="20"/>
                <w:szCs w:val="20"/>
              </w:rPr>
              <w:t>1,990.44</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b/>
                <w:color w:val="000000"/>
                <w:szCs w:val="21"/>
              </w:rPr>
            </w:pPr>
            <w:r>
              <w:rPr>
                <w:rFonts w:ascii="宋体" w:hAnsi="宋体" w:cs="宋体" w:hint="eastAsia"/>
                <w:b/>
                <w:color w:val="000000"/>
                <w:kern w:val="0"/>
                <w:sz w:val="20"/>
                <w:szCs w:val="20"/>
              </w:rPr>
              <w:t>825.15</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b/>
                <w:color w:val="000000"/>
                <w:szCs w:val="21"/>
              </w:rPr>
            </w:pPr>
            <w:r>
              <w:rPr>
                <w:rFonts w:ascii="宋体" w:hAnsi="宋体" w:cs="宋体" w:hint="eastAsia"/>
                <w:b/>
                <w:color w:val="000000"/>
                <w:kern w:val="0"/>
                <w:sz w:val="20"/>
                <w:szCs w:val="20"/>
              </w:rPr>
              <w:t>1,165.29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b/>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208</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社会保障和就业支出</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20805</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行政事业单位离退休</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2080505</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机关事业单位基本养老保险缴费支出</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210</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医疗卫生与计划生育支出</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21011</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行政事业单位医疗</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lastRenderedPageBreak/>
              <w:t>2101102</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事业单位医疗</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212</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城乡社区支出</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1,952.88</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789.72</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1,163.16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21201</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城乡社区管理事务</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1,952.88</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789.72</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1,163.16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2120101</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行政运行</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789.72</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789.72</w:t>
            </w: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2120102</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一般行政管理事务</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1,163.16</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1,163.16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221</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住房保障支出</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22101</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保障性安居工程支出</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468"/>
        </w:trPr>
        <w:tc>
          <w:tcPr>
            <w:tcW w:w="128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2210199</w:t>
            </w:r>
          </w:p>
        </w:tc>
        <w:tc>
          <w:tcPr>
            <w:tcW w:w="14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其他保障性安居工程支出</w:t>
            </w:r>
          </w:p>
        </w:tc>
        <w:tc>
          <w:tcPr>
            <w:tcW w:w="10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c>
          <w:tcPr>
            <w:tcW w:w="99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97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Cs w:val="21"/>
              </w:rPr>
            </w:pPr>
          </w:p>
        </w:tc>
      </w:tr>
      <w:tr w:rsidR="00F26C76">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F26C76" w:rsidRDefault="00F26C76" w:rsidP="00F26C76">
      <w:pPr>
        <w:widowControl/>
        <w:spacing w:after="0" w:line="560" w:lineRule="exact"/>
        <w:ind w:firstLineChars="200" w:firstLine="561"/>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F26C76">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F26C76">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F26C76">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65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F26C76">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出</w:t>
            </w:r>
          </w:p>
        </w:tc>
      </w:tr>
      <w:tr w:rsidR="00F26C76">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F26C76">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2638.50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23.90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23.90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11.53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1952.88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1952.88</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2638.50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1990.44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1990.44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12.08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660.13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660.13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12.08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2650.58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2650.58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2650.58</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right"/>
              <w:rPr>
                <w:rFonts w:ascii="宋体" w:hAnsi="宋体" w:cs="宋体"/>
                <w:color w:val="000000"/>
                <w:sz w:val="18"/>
                <w:szCs w:val="18"/>
              </w:rPr>
            </w:pPr>
          </w:p>
        </w:tc>
      </w:tr>
      <w:tr w:rsidR="00F26C76">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F26C76" w:rsidRDefault="00F26C76">
      <w:pPr>
        <w:widowControl/>
        <w:spacing w:after="0" w:line="560" w:lineRule="exact"/>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F26C76">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F26C76" w:rsidRDefault="00F71E32">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F26C76">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05</w:t>
            </w:r>
            <w:r>
              <w:rPr>
                <w:rFonts w:ascii="宋体" w:hAnsi="宋体" w:cs="宋体" w:hint="eastAsia"/>
                <w:color w:val="000000"/>
                <w:kern w:val="0"/>
                <w:szCs w:val="21"/>
              </w:rPr>
              <w:t>表</w:t>
            </w:r>
          </w:p>
        </w:tc>
      </w:tr>
      <w:tr w:rsidR="00F26C76">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26C76">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F26C76">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F26C76">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r>
      <w:tr w:rsidR="00F26C76">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tLeast"/>
              <w:jc w:val="center"/>
              <w:rPr>
                <w:rFonts w:ascii="宋体" w:hAnsi="宋体" w:cs="宋体"/>
                <w:color w:val="000000"/>
                <w:szCs w:val="21"/>
              </w:rPr>
            </w:pPr>
          </w:p>
        </w:tc>
      </w:tr>
      <w:tr w:rsidR="00F26C76">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F26C76">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b/>
                <w:color w:val="000000"/>
                <w:szCs w:val="21"/>
              </w:rPr>
            </w:pPr>
            <w:r>
              <w:rPr>
                <w:rFonts w:ascii="宋体" w:hAnsi="宋体" w:cs="宋体" w:hint="eastAsia"/>
                <w:b/>
                <w:color w:val="000000"/>
                <w:kern w:val="0"/>
                <w:sz w:val="20"/>
                <w:szCs w:val="20"/>
              </w:rPr>
              <w:t>1,990.44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b/>
                <w:color w:val="000000"/>
                <w:szCs w:val="21"/>
              </w:rPr>
            </w:pPr>
            <w:r>
              <w:rPr>
                <w:rFonts w:ascii="宋体" w:hAnsi="宋体" w:cs="宋体" w:hint="eastAsia"/>
                <w:b/>
                <w:color w:val="000000"/>
                <w:kern w:val="0"/>
                <w:sz w:val="20"/>
                <w:szCs w:val="20"/>
              </w:rPr>
              <w:t>825.15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b/>
                <w:color w:val="000000"/>
                <w:szCs w:val="21"/>
              </w:rPr>
            </w:pPr>
            <w:r>
              <w:rPr>
                <w:rFonts w:ascii="宋体" w:hAnsi="宋体" w:cs="宋体" w:hint="eastAsia"/>
                <w:b/>
                <w:color w:val="000000"/>
                <w:kern w:val="0"/>
                <w:sz w:val="20"/>
                <w:szCs w:val="20"/>
              </w:rPr>
              <w:t>1,165.29</w:t>
            </w: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23.90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21011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2101102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11.53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城乡社区支出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1,952.88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789.72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1,163.16</w:t>
            </w: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城乡社区管理事务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1,952.88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789.72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1,163.16</w:t>
            </w: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2120101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789.72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789.72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lastRenderedPageBreak/>
              <w:t>2120102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一般行政管理事务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1,163.16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1,163.16</w:t>
            </w: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221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22101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保障性安居工程支出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r>
      <w:tr w:rsidR="00F26C76">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2210199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其他保障性安居工程支出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Cs w:val="21"/>
              </w:rPr>
            </w:pPr>
            <w:r>
              <w:rPr>
                <w:rFonts w:ascii="宋体" w:hAnsi="宋体" w:cs="宋体" w:hint="eastAsia"/>
                <w:color w:val="000000"/>
                <w:kern w:val="0"/>
                <w:sz w:val="20"/>
                <w:szCs w:val="20"/>
              </w:rPr>
              <w:t>2.13</w:t>
            </w:r>
          </w:p>
        </w:tc>
      </w:tr>
      <w:tr w:rsidR="00F26C76">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hint="eastAsia"/>
                <w:color w:val="000000"/>
                <w:kern w:val="0"/>
                <w:szCs w:val="21"/>
              </w:rPr>
              <w:t xml:space="preserve">      </w:t>
            </w:r>
          </w:p>
        </w:tc>
      </w:tr>
    </w:tbl>
    <w:p w:rsidR="00F26C76" w:rsidRDefault="00F26C76">
      <w:pPr>
        <w:widowControl/>
        <w:spacing w:after="0" w:line="560" w:lineRule="exact"/>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F26C76">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F26C76">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F26C76" w:rsidRDefault="00F71E3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06</w:t>
            </w:r>
            <w:r>
              <w:rPr>
                <w:rFonts w:ascii="宋体" w:hAnsi="宋体" w:cs="宋体" w:hint="eastAsia"/>
                <w:color w:val="000000"/>
                <w:kern w:val="0"/>
                <w:sz w:val="22"/>
                <w:szCs w:val="22"/>
              </w:rPr>
              <w:t>表</w:t>
            </w:r>
          </w:p>
        </w:tc>
      </w:tr>
      <w:tr w:rsidR="00F26C76">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p>
        </w:tc>
        <w:tc>
          <w:tcPr>
            <w:tcW w:w="74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F26C76" w:rsidRDefault="00F71E3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F26C76">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F26C76">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F26C76">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pacing w:after="0" w:line="240" w:lineRule="auto"/>
              <w:jc w:val="center"/>
              <w:rPr>
                <w:rFonts w:ascii="宋体" w:hAnsi="宋体" w:cs="宋体"/>
                <w:color w:val="000000"/>
                <w:sz w:val="22"/>
                <w:szCs w:val="22"/>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779.80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37.27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744.37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4.63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1.00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0.74</w:t>
            </w: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2.03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0.74</w:t>
            </w:r>
          </w:p>
        </w:tc>
      </w:tr>
      <w:tr w:rsidR="00F26C76">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23.90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4.01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8.41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6.23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11.53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0.12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7.11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lastRenderedPageBreak/>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7.34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0.37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0.08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7.34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1.00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1.50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0.78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jc w:val="right"/>
              <w:rPr>
                <w:rFonts w:ascii="宋体" w:hAnsi="宋体" w:cs="宋体"/>
                <w:color w:val="000000"/>
                <w:sz w:val="20"/>
                <w:szCs w:val="20"/>
              </w:rPr>
            </w:pPr>
          </w:p>
        </w:tc>
      </w:tr>
      <w:tr w:rsidR="00F26C76">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787.14</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jc w:val="right"/>
              <w:textAlignment w:val="center"/>
              <w:rPr>
                <w:rFonts w:ascii="宋体" w:hAnsi="宋体" w:cs="宋体"/>
                <w:color w:val="000000"/>
                <w:sz w:val="16"/>
                <w:szCs w:val="16"/>
              </w:rPr>
            </w:pPr>
            <w:r>
              <w:rPr>
                <w:rFonts w:ascii="宋体" w:hAnsi="宋体" w:cs="宋体" w:hint="eastAsia"/>
                <w:color w:val="000000"/>
                <w:kern w:val="0"/>
                <w:sz w:val="20"/>
                <w:szCs w:val="20"/>
              </w:rPr>
              <w:t>38.01</w:t>
            </w:r>
          </w:p>
        </w:tc>
      </w:tr>
      <w:tr w:rsidR="00F26C76">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hint="eastAsia"/>
                <w:color w:val="000000"/>
                <w:kern w:val="0"/>
                <w:sz w:val="20"/>
                <w:szCs w:val="20"/>
              </w:rPr>
              <w:t xml:space="preserve">        </w:t>
            </w:r>
          </w:p>
        </w:tc>
      </w:tr>
    </w:tbl>
    <w:p w:rsidR="00F26C76" w:rsidRDefault="00F26C76">
      <w:pPr>
        <w:widowControl/>
        <w:spacing w:after="0" w:line="560" w:lineRule="exact"/>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F26C76">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F26C76">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F26C76">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F26C76">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F26C76">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F26C76">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r>
      <w:tr w:rsidR="00F26C76">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26C76">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0.08</w:t>
            </w:r>
          </w:p>
        </w:tc>
      </w:tr>
      <w:tr w:rsidR="00F26C76">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F26C76">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F26C76">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r>
      <w:tr w:rsidR="00F26C76">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F26C76">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0.08</w:t>
            </w:r>
          </w:p>
        </w:tc>
      </w:tr>
    </w:tbl>
    <w:p w:rsidR="00F26C76" w:rsidRDefault="00F26C76">
      <w:pPr>
        <w:widowControl/>
        <w:spacing w:after="0" w:line="560" w:lineRule="exact"/>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F26C76">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F26C76">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08</w:t>
            </w:r>
            <w:r>
              <w:rPr>
                <w:rFonts w:ascii="宋体" w:hAnsi="宋体" w:cs="宋体" w:hint="eastAsia"/>
                <w:color w:val="000000"/>
                <w:kern w:val="0"/>
                <w:szCs w:val="21"/>
              </w:rPr>
              <w:t>表</w:t>
            </w:r>
          </w:p>
        </w:tc>
      </w:tr>
      <w:tr w:rsidR="00F26C76">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26C76">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F26C76">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r>
      <w:tr w:rsidR="00F26C76">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r>
      <w:tr w:rsidR="00F26C76">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26C76">
            <w:pPr>
              <w:widowControl/>
              <w:adjustRightInd w:val="0"/>
              <w:spacing w:after="0" w:line="240" w:lineRule="auto"/>
              <w:jc w:val="center"/>
              <w:rPr>
                <w:rFonts w:ascii="宋体" w:hAnsi="宋体" w:cs="宋体"/>
                <w:color w:val="000000"/>
                <w:szCs w:val="21"/>
              </w:rPr>
            </w:pPr>
          </w:p>
        </w:tc>
      </w:tr>
      <w:tr w:rsidR="00F26C76">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26C76">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b/>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pacing w:after="0" w:line="240" w:lineRule="auto"/>
              <w:jc w:val="right"/>
              <w:rPr>
                <w:rFonts w:ascii="宋体" w:hAnsi="宋体" w:cs="宋体"/>
                <w:color w:val="000000"/>
                <w:szCs w:val="21"/>
              </w:rPr>
            </w:pPr>
          </w:p>
        </w:tc>
      </w:tr>
      <w:tr w:rsidR="00F26C76">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F26C76" w:rsidRDefault="00F71E32" w:rsidP="00F71E32">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本部门本年度无相关收入（或支出、收支及结转结余等）情况，按要求空表列示</w:t>
            </w:r>
            <w:r>
              <w:rPr>
                <w:rFonts w:ascii="宋体" w:hAnsi="宋体" w:cs="宋体" w:hint="eastAsia"/>
                <w:color w:val="000000"/>
                <w:kern w:val="0"/>
                <w:szCs w:val="21"/>
              </w:rPr>
              <w:t xml:space="preserve"> </w:t>
            </w:r>
            <w:r>
              <w:rPr>
                <w:rFonts w:ascii="宋体" w:hAnsi="宋体" w:cs="宋体" w:hint="eastAsia"/>
                <w:color w:val="000000"/>
                <w:kern w:val="0"/>
                <w:szCs w:val="21"/>
              </w:rPr>
              <w:t>。</w:t>
            </w:r>
          </w:p>
        </w:tc>
      </w:tr>
    </w:tbl>
    <w:p w:rsidR="00F26C76" w:rsidRDefault="00F26C76">
      <w:pPr>
        <w:widowControl/>
        <w:spacing w:after="0" w:line="560" w:lineRule="exact"/>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F26C76">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F26C76">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09</w:t>
            </w:r>
            <w:r>
              <w:rPr>
                <w:rFonts w:ascii="宋体" w:hAnsi="宋体" w:cs="宋体" w:hint="eastAsia"/>
                <w:color w:val="000000"/>
                <w:kern w:val="0"/>
                <w:sz w:val="22"/>
                <w:szCs w:val="22"/>
              </w:rPr>
              <w:t>表</w:t>
            </w:r>
          </w:p>
        </w:tc>
      </w:tr>
      <w:tr w:rsidR="00F26C76">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F26C76">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F26C76">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F26C76">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F26C76">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r>
      <w:tr w:rsidR="00F26C76">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r>
      <w:tr w:rsidR="00F26C76">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r>
      <w:tr w:rsidR="00F26C76">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r>
      <w:tr w:rsidR="00F26C76">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r>
      <w:tr w:rsidR="00F26C76">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r>
      <w:tr w:rsidR="00F26C76">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spacing w:after="0" w:line="240" w:lineRule="auto"/>
              <w:jc w:val="right"/>
              <w:rPr>
                <w:rFonts w:ascii="宋体" w:hAnsi="宋体" w:cs="宋体"/>
                <w:color w:val="000000"/>
                <w:sz w:val="22"/>
                <w:szCs w:val="22"/>
              </w:rPr>
            </w:pPr>
          </w:p>
        </w:tc>
      </w:tr>
      <w:tr w:rsidR="00F26C76">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F26C76" w:rsidRDefault="00F71E32">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Cs w:val="21"/>
              </w:rPr>
              <w:t>本部门本年度无相关收入（或支出、收支及结转结余等）情况，按要求空表列示</w:t>
            </w:r>
            <w:r>
              <w:rPr>
                <w:rFonts w:ascii="宋体" w:hAnsi="宋体" w:cs="宋体" w:hint="eastAsia"/>
                <w:color w:val="000000"/>
                <w:kern w:val="0"/>
                <w:szCs w:val="21"/>
              </w:rPr>
              <w:t xml:space="preserve"> </w:t>
            </w:r>
            <w:r>
              <w:rPr>
                <w:rFonts w:ascii="宋体" w:hAnsi="宋体" w:cs="宋体" w:hint="eastAsia"/>
                <w:color w:val="000000"/>
                <w:kern w:val="0"/>
                <w:szCs w:val="21"/>
              </w:rPr>
              <w:t>。</w:t>
            </w:r>
          </w:p>
        </w:tc>
      </w:tr>
    </w:tbl>
    <w:p w:rsidR="00F26C76" w:rsidRDefault="00F26C76">
      <w:pPr>
        <w:widowControl/>
        <w:spacing w:after="0" w:line="560" w:lineRule="exact"/>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F26C76">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F26C76">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10</w:t>
            </w:r>
            <w:r>
              <w:rPr>
                <w:rFonts w:ascii="宋体" w:hAnsi="宋体" w:cs="宋体" w:hint="eastAsia"/>
                <w:color w:val="000000"/>
                <w:kern w:val="0"/>
                <w:szCs w:val="21"/>
              </w:rPr>
              <w:t>表</w:t>
            </w:r>
          </w:p>
        </w:tc>
      </w:tr>
      <w:tr w:rsidR="00F26C76">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26C76">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F26C76">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F26C76">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r>
      <w:tr w:rsidR="00F26C76">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26C76">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r>
      <w:tr w:rsidR="00F26C76">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r>
      <w:tr w:rsidR="00F26C76">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r>
      <w:tr w:rsidR="00F26C76">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r>
      <w:tr w:rsidR="00F26C76">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F26C76">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F26C76">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center"/>
              <w:rPr>
                <w:rFonts w:ascii="宋体" w:hAnsi="宋体" w:cs="宋体"/>
                <w:color w:val="000000"/>
                <w:szCs w:val="21"/>
              </w:rPr>
            </w:pPr>
          </w:p>
        </w:tc>
      </w:tr>
      <w:tr w:rsidR="00F26C76">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26C76">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0.75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0.75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0.75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r>
      <w:tr w:rsidR="00F26C76">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0.75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0.75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0.75</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r>
      <w:tr w:rsidR="00F26C76">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r>
      <w:tr w:rsidR="00F26C76">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26C76" w:rsidRDefault="00F26C76">
            <w:pPr>
              <w:widowControl/>
              <w:adjustRightInd w:val="0"/>
              <w:snapToGrid w:val="0"/>
              <w:spacing w:after="0" w:line="240" w:lineRule="auto"/>
              <w:jc w:val="right"/>
              <w:rPr>
                <w:rFonts w:ascii="宋体" w:hAnsi="宋体" w:cs="宋体"/>
                <w:color w:val="000000"/>
                <w:szCs w:val="21"/>
              </w:rPr>
            </w:pPr>
          </w:p>
        </w:tc>
      </w:tr>
      <w:tr w:rsidR="00F26C76">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F26C76" w:rsidRDefault="00F71E32">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   </w:t>
            </w:r>
          </w:p>
        </w:tc>
      </w:tr>
    </w:tbl>
    <w:p w:rsidR="00F26C76" w:rsidRDefault="00F26C76">
      <w:pPr>
        <w:widowControl/>
        <w:spacing w:after="0" w:line="560" w:lineRule="exact"/>
        <w:jc w:val="left"/>
        <w:rPr>
          <w:rFonts w:ascii="仿宋_GB2312" w:eastAsia="仿宋_GB2312" w:hAnsiTheme="majorEastAsia"/>
          <w:b/>
          <w:sz w:val="28"/>
          <w:szCs w:val="28"/>
          <w:highlight w:val="yellow"/>
        </w:rPr>
      </w:pPr>
    </w:p>
    <w:p w:rsidR="00F26C76" w:rsidRDefault="00F26C76"/>
    <w:p w:rsidR="00F26C76" w:rsidRDefault="00F26C76"/>
    <w:p w:rsidR="00F26C76" w:rsidRDefault="00F26C76"/>
    <w:p w:rsidR="00F26C76" w:rsidRDefault="00F26C76"/>
    <w:p w:rsidR="00F26C76" w:rsidRDefault="00F71E32">
      <w:pPr>
        <w:tabs>
          <w:tab w:val="left" w:pos="1086"/>
        </w:tabs>
        <w:jc w:val="left"/>
        <w:rPr>
          <w:rFonts w:ascii="仿宋_GB2312" w:eastAsia="仿宋_GB2312" w:hAnsiTheme="majorEastAsia"/>
          <w:b/>
          <w:sz w:val="28"/>
          <w:szCs w:val="28"/>
          <w:highlight w:val="yellow"/>
        </w:rPr>
        <w:sectPr w:rsidR="00F26C76">
          <w:pgSz w:w="11906" w:h="16838"/>
          <w:pgMar w:top="2098" w:right="1474" w:bottom="1984" w:left="1588" w:header="851" w:footer="992" w:gutter="0"/>
          <w:cols w:space="0"/>
          <w:docGrid w:type="lines" w:linePitch="312"/>
        </w:sectPr>
      </w:pPr>
      <w:r>
        <w:rPr>
          <w:rFonts w:hint="eastAsia"/>
        </w:rPr>
        <w:tab/>
      </w:r>
    </w:p>
    <w:p w:rsidR="00F26C76" w:rsidRDefault="00F26C76">
      <w:pPr>
        <w:widowControl/>
        <w:spacing w:line="1200" w:lineRule="exact"/>
        <w:jc w:val="center"/>
        <w:rPr>
          <w:rFonts w:asciiTheme="minorEastAsia" w:eastAsiaTheme="minorEastAsia" w:hAnsi="宋体"/>
          <w:color w:val="000000" w:themeColor="text1"/>
          <w:sz w:val="96"/>
          <w:szCs w:val="96"/>
        </w:rPr>
      </w:pPr>
    </w:p>
    <w:p w:rsidR="00F26C76" w:rsidRDefault="00F26C76">
      <w:pPr>
        <w:widowControl/>
        <w:spacing w:line="1200" w:lineRule="exact"/>
        <w:jc w:val="center"/>
        <w:rPr>
          <w:rFonts w:asciiTheme="minorEastAsia" w:eastAsiaTheme="minorEastAsia" w:hAnsi="宋体"/>
          <w:color w:val="000000" w:themeColor="text1"/>
          <w:sz w:val="96"/>
          <w:szCs w:val="96"/>
        </w:rPr>
      </w:pPr>
    </w:p>
    <w:p w:rsidR="00F26C76" w:rsidRDefault="00F26C76">
      <w:pPr>
        <w:widowControl/>
        <w:spacing w:line="1200" w:lineRule="exact"/>
        <w:jc w:val="center"/>
        <w:rPr>
          <w:rFonts w:asciiTheme="minorEastAsia" w:eastAsiaTheme="minorEastAsia" w:hAnsi="宋体"/>
          <w:color w:val="000000" w:themeColor="text1"/>
          <w:sz w:val="96"/>
          <w:szCs w:val="96"/>
        </w:rPr>
      </w:pPr>
    </w:p>
    <w:p w:rsidR="00F26C76" w:rsidRDefault="00F71E32">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F26C76" w:rsidRDefault="00F71E32">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F26C76" w:rsidRDefault="00F26C76">
      <w:pPr>
        <w:rPr>
          <w:rFonts w:ascii="宋体" w:hAnsi="宋体" w:cs="ArialUnicodeMS"/>
          <w:color w:val="000000"/>
          <w:kern w:val="0"/>
        </w:rPr>
        <w:sectPr w:rsidR="00F26C76">
          <w:pgSz w:w="11906" w:h="16838"/>
          <w:pgMar w:top="2098" w:right="1474" w:bottom="1984" w:left="1588" w:header="851" w:footer="992" w:gutter="0"/>
          <w:cols w:space="0"/>
          <w:docGrid w:type="lines" w:linePitch="312"/>
        </w:sectPr>
      </w:pPr>
    </w:p>
    <w:p w:rsidR="00F26C76" w:rsidRDefault="00F71E32">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年度收支总计</w:t>
      </w:r>
      <w:r>
        <w:rPr>
          <w:rFonts w:ascii="仿宋_GB2312" w:eastAsia="仿宋_GB2312" w:cs="DengXian-Regular" w:hint="eastAsia"/>
          <w:sz w:val="32"/>
          <w:szCs w:val="32"/>
        </w:rPr>
        <w:t>2650.58</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年度决算相比，收支各减少</w:t>
      </w:r>
      <w:r>
        <w:rPr>
          <w:rFonts w:ascii="仿宋_GB2312" w:eastAsia="仿宋_GB2312" w:cs="DengXian-Regular" w:hint="eastAsia"/>
          <w:sz w:val="32"/>
          <w:szCs w:val="32"/>
        </w:rPr>
        <w:t>9772.02</w:t>
      </w:r>
      <w:r>
        <w:rPr>
          <w:rFonts w:ascii="仿宋_GB2312" w:eastAsia="仿宋_GB2312" w:cs="DengXian-Regular" w:hint="eastAsia"/>
          <w:sz w:val="32"/>
          <w:szCs w:val="32"/>
        </w:rPr>
        <w:t>万元，下降</w:t>
      </w:r>
      <w:r>
        <w:rPr>
          <w:rFonts w:ascii="仿宋_GB2312" w:eastAsia="仿宋_GB2312" w:cs="DengXian-Regular" w:hint="eastAsia"/>
          <w:sz w:val="32"/>
          <w:szCs w:val="32"/>
        </w:rPr>
        <w:t>78.6%</w:t>
      </w:r>
      <w:r>
        <w:rPr>
          <w:rFonts w:ascii="仿宋_GB2312" w:eastAsia="仿宋_GB2312" w:cs="DengXian-Regular" w:hint="eastAsia"/>
          <w:sz w:val="32"/>
          <w:szCs w:val="32"/>
        </w:rPr>
        <w:t>，主要是</w:t>
      </w:r>
      <w:r>
        <w:rPr>
          <w:rFonts w:eastAsia="仿宋_GB2312" w:hint="eastAsia"/>
          <w:sz w:val="32"/>
          <w:szCs w:val="32"/>
        </w:rPr>
        <w:t>节能环保和住房保障项目减少</w:t>
      </w:r>
      <w:r>
        <w:rPr>
          <w:rFonts w:ascii="仿宋_GB2312" w:eastAsia="仿宋_GB2312" w:cs="DengXian-Regular" w:hint="eastAsia"/>
          <w:sz w:val="32"/>
          <w:szCs w:val="32"/>
        </w:rPr>
        <w:t>。</w:t>
      </w:r>
    </w:p>
    <w:p w:rsidR="00F26C76" w:rsidRDefault="00F71E32">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2638.50</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2638.50</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；其他收入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。如图所示：</w:t>
      </w:r>
    </w:p>
    <w:p w:rsidR="00F26C76" w:rsidRDefault="00F71E32">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F26C76" w:rsidRDefault="00F71E32">
      <w:pPr>
        <w:rPr>
          <w:rFonts w:ascii="黑体" w:eastAsia="黑体" w:hAnsiTheme="majorHAnsi" w:cstheme="majorBidi"/>
          <w:sz w:val="32"/>
          <w:szCs w:val="32"/>
        </w:rPr>
      </w:pPr>
      <w:r>
        <w:rPr>
          <w:rFonts w:ascii="黑体" w:eastAsia="黑体" w:hAnsiTheme="majorHAnsi" w:cstheme="majorBidi" w:hint="eastAsia"/>
          <w:noProof/>
          <w:sz w:val="32"/>
          <w:szCs w:val="32"/>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6C76" w:rsidRDefault="00F26C76"/>
    <w:p w:rsidR="00F26C76" w:rsidRDefault="00F71E32">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1990.44</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825.15</w:t>
      </w:r>
      <w:r>
        <w:rPr>
          <w:rFonts w:ascii="仿宋_GB2312" w:eastAsia="仿宋_GB2312" w:cs="DengXian-Regular" w:hint="eastAsia"/>
          <w:sz w:val="32"/>
          <w:szCs w:val="32"/>
        </w:rPr>
        <w:t>万元，占</w:t>
      </w:r>
      <w:r>
        <w:rPr>
          <w:rFonts w:ascii="仿宋_GB2312" w:eastAsia="仿宋_GB2312" w:cs="DengXian-Regular" w:hint="eastAsia"/>
          <w:sz w:val="32"/>
          <w:szCs w:val="32"/>
        </w:rPr>
        <w:t>41.45%</w:t>
      </w:r>
      <w:r>
        <w:rPr>
          <w:rFonts w:ascii="仿宋_GB2312" w:eastAsia="仿宋_GB2312" w:cs="DengXian-Regular" w:hint="eastAsia"/>
          <w:sz w:val="32"/>
          <w:szCs w:val="32"/>
        </w:rPr>
        <w:t>；项目支出</w:t>
      </w:r>
      <w:r>
        <w:rPr>
          <w:rFonts w:ascii="仿宋_GB2312" w:eastAsia="仿宋_GB2312" w:cs="DengXian-Regular" w:hint="eastAsia"/>
          <w:sz w:val="32"/>
          <w:szCs w:val="32"/>
        </w:rPr>
        <w:t>1165.29</w:t>
      </w:r>
      <w:r>
        <w:rPr>
          <w:rFonts w:ascii="仿宋_GB2312" w:eastAsia="仿宋_GB2312" w:cs="DengXian-Regular" w:hint="eastAsia"/>
          <w:sz w:val="32"/>
          <w:szCs w:val="32"/>
        </w:rPr>
        <w:t>万元，占</w:t>
      </w:r>
      <w:r>
        <w:rPr>
          <w:rFonts w:ascii="仿宋_GB2312" w:eastAsia="仿宋_GB2312" w:cs="DengXian-Regular" w:hint="eastAsia"/>
          <w:sz w:val="32"/>
          <w:szCs w:val="32"/>
        </w:rPr>
        <w:t>58.55%</w:t>
      </w:r>
      <w:r>
        <w:rPr>
          <w:rFonts w:ascii="仿宋_GB2312" w:eastAsia="仿宋_GB2312" w:cs="DengXian-Regular" w:hint="eastAsia"/>
          <w:sz w:val="32"/>
          <w:szCs w:val="32"/>
        </w:rPr>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。如图所示：</w:t>
      </w:r>
    </w:p>
    <w:p w:rsidR="00F26C76" w:rsidRDefault="00F71E32">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58240" behindDoc="0" locked="0" layoutInCell="1" allowOverlap="1">
            <wp:simplePos x="0" y="0"/>
            <wp:positionH relativeFrom="column">
              <wp:posOffset>410845</wp:posOffset>
            </wp:positionH>
            <wp:positionV relativeFrom="paragraph">
              <wp:posOffset>-3053715</wp:posOffset>
            </wp:positionV>
            <wp:extent cx="5080000" cy="3343275"/>
            <wp:effectExtent l="4445" t="4445" r="20955" b="508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71E32">
      <w:pPr>
        <w:pStyle w:val="2"/>
        <w:spacing w:before="0" w:after="0" w:line="580" w:lineRule="exact"/>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F26C76" w:rsidRDefault="00F71E32" w:rsidP="00F26C76">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hint="eastAsia"/>
          <w:sz w:val="32"/>
          <w:szCs w:val="32"/>
        </w:rPr>
        <w:t>2638.50</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年度减少</w:t>
      </w:r>
      <w:r>
        <w:rPr>
          <w:rFonts w:ascii="仿宋_GB2312" w:eastAsia="仿宋_GB2312" w:cs="DengXian-Regular" w:hint="eastAsia"/>
          <w:sz w:val="32"/>
          <w:szCs w:val="32"/>
        </w:rPr>
        <w:t>1499.62</w:t>
      </w:r>
      <w:r>
        <w:rPr>
          <w:rFonts w:ascii="仿宋_GB2312" w:eastAsia="仿宋_GB2312" w:cs="DengXian-Regular" w:hint="eastAsia"/>
          <w:sz w:val="32"/>
          <w:szCs w:val="32"/>
        </w:rPr>
        <w:t>万元，降低</w:t>
      </w:r>
      <w:r>
        <w:rPr>
          <w:rFonts w:ascii="仿宋_GB2312" w:eastAsia="仿宋_GB2312" w:cs="DengXian-Regular" w:hint="eastAsia"/>
          <w:sz w:val="32"/>
          <w:szCs w:val="32"/>
        </w:rPr>
        <w:t>36.24%</w:t>
      </w:r>
      <w:r>
        <w:rPr>
          <w:rFonts w:ascii="仿宋_GB2312" w:eastAsia="仿宋_GB2312" w:cs="DengXian-Regular" w:hint="eastAsia"/>
          <w:sz w:val="32"/>
          <w:szCs w:val="32"/>
        </w:rPr>
        <w:t>，主要是保障房项目</w:t>
      </w:r>
      <w:r>
        <w:rPr>
          <w:rFonts w:ascii="仿宋_GB2312" w:eastAsia="仿宋_GB2312" w:cs="DengXian-Regular" w:hint="eastAsia"/>
          <w:sz w:val="32"/>
          <w:szCs w:val="32"/>
        </w:rPr>
        <w:lastRenderedPageBreak/>
        <w:t>减少；本年支出</w:t>
      </w:r>
      <w:r>
        <w:rPr>
          <w:rFonts w:ascii="仿宋_GB2312" w:eastAsia="仿宋_GB2312" w:cs="DengXian-Regular" w:hint="eastAsia"/>
          <w:sz w:val="32"/>
          <w:szCs w:val="32"/>
        </w:rPr>
        <w:t>1990.44</w:t>
      </w:r>
      <w:r>
        <w:rPr>
          <w:rFonts w:ascii="仿宋_GB2312" w:eastAsia="仿宋_GB2312" w:cs="DengXian-Regular" w:hint="eastAsia"/>
          <w:sz w:val="32"/>
          <w:szCs w:val="32"/>
        </w:rPr>
        <w:t>万元，减少</w:t>
      </w:r>
      <w:r>
        <w:rPr>
          <w:rFonts w:ascii="仿宋_GB2312" w:eastAsia="仿宋_GB2312" w:cs="DengXian-Regular" w:hint="eastAsia"/>
          <w:sz w:val="32"/>
          <w:szCs w:val="32"/>
        </w:rPr>
        <w:t>2822.22</w:t>
      </w:r>
      <w:r>
        <w:rPr>
          <w:rFonts w:ascii="仿宋_GB2312" w:eastAsia="仿宋_GB2312" w:cs="DengXian-Regular" w:hint="eastAsia"/>
          <w:sz w:val="32"/>
          <w:szCs w:val="32"/>
        </w:rPr>
        <w:t>万元，降低</w:t>
      </w:r>
      <w:r>
        <w:rPr>
          <w:rFonts w:ascii="仿宋_GB2312" w:eastAsia="仿宋_GB2312" w:cs="DengXian-Regular" w:hint="eastAsia"/>
          <w:sz w:val="32"/>
          <w:szCs w:val="32"/>
        </w:rPr>
        <w:t>58.64%</w:t>
      </w:r>
      <w:r>
        <w:rPr>
          <w:rFonts w:ascii="仿宋_GB2312" w:eastAsia="仿宋_GB2312" w:cs="DengXian-Regular" w:hint="eastAsia"/>
          <w:sz w:val="32"/>
          <w:szCs w:val="32"/>
        </w:rPr>
        <w:t>，主要是节能环保支出减少。</w:t>
      </w:r>
    </w:p>
    <w:p w:rsidR="00F26C76" w:rsidRDefault="00F71E32">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w:t>
      </w:r>
      <w:r>
        <w:rPr>
          <w:rFonts w:eastAsia="仿宋_GB2312" w:hint="eastAsia"/>
          <w:sz w:val="32"/>
          <w:szCs w:val="32"/>
        </w:rPr>
        <w:t>3</w:t>
      </w:r>
      <w:r>
        <w:rPr>
          <w:rFonts w:eastAsia="仿宋_GB2312" w:hint="eastAsia"/>
          <w:sz w:val="32"/>
          <w:szCs w:val="32"/>
        </w:rPr>
        <w:t>：财政拨款收支情况</w:t>
      </w:r>
    </w:p>
    <w:p w:rsidR="00F26C76" w:rsidRDefault="00F71E32" w:rsidP="00F26C76">
      <w:pPr>
        <w:adjustRightInd w:val="0"/>
        <w:snapToGrid w:val="0"/>
        <w:spacing w:after="0" w:line="580" w:lineRule="exact"/>
        <w:ind w:firstLineChars="200" w:firstLine="641"/>
        <w:rPr>
          <w:rFonts w:ascii="仿宋_GB2312" w:eastAsia="仿宋_GB2312" w:cs="DengXian-Regular"/>
          <w:sz w:val="32"/>
          <w:szCs w:val="32"/>
        </w:rPr>
      </w:pPr>
      <w:r>
        <w:rPr>
          <w:rFonts w:ascii="楷体_GB2312" w:eastAsia="楷体_GB2312" w:cs="DengXian-Bold" w:hint="eastAsia"/>
          <w:b/>
          <w:bCs/>
          <w:noProof/>
          <w:sz w:val="32"/>
          <w:szCs w:val="32"/>
        </w:rPr>
        <w:drawing>
          <wp:anchor distT="0" distB="0" distL="114300" distR="114300" simplePos="0" relativeHeight="251659264" behindDoc="0" locked="0" layoutInCell="1" allowOverlap="1">
            <wp:simplePos x="0" y="0"/>
            <wp:positionH relativeFrom="column">
              <wp:posOffset>229870</wp:posOffset>
            </wp:positionH>
            <wp:positionV relativeFrom="paragraph">
              <wp:posOffset>334010</wp:posOffset>
            </wp:positionV>
            <wp:extent cx="5080000" cy="3657600"/>
            <wp:effectExtent l="4445" t="4445" r="20955" b="146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pPr>
        <w:adjustRightInd w:val="0"/>
        <w:snapToGrid w:val="0"/>
        <w:spacing w:after="0" w:line="580" w:lineRule="exact"/>
        <w:ind w:firstLineChars="200" w:firstLine="640"/>
        <w:rPr>
          <w:rFonts w:ascii="仿宋_GB2312" w:eastAsia="仿宋_GB2312" w:cs="DengXian-Regular"/>
          <w:sz w:val="32"/>
          <w:szCs w:val="32"/>
        </w:rPr>
      </w:pPr>
    </w:p>
    <w:p w:rsidR="00F26C76" w:rsidRDefault="00F26C76" w:rsidP="00F26C76">
      <w:pPr>
        <w:spacing w:after="0" w:line="580" w:lineRule="exact"/>
        <w:ind w:firstLineChars="200" w:firstLine="641"/>
        <w:rPr>
          <w:rFonts w:ascii="楷体_GB2312" w:eastAsia="楷体_GB2312" w:cs="DengXian-Bold"/>
          <w:b/>
          <w:bCs/>
          <w:sz w:val="32"/>
          <w:szCs w:val="32"/>
        </w:rPr>
      </w:pPr>
    </w:p>
    <w:p w:rsidR="00F26C76" w:rsidRDefault="00F26C76">
      <w:pPr>
        <w:spacing w:after="0" w:line="580" w:lineRule="exact"/>
        <w:rPr>
          <w:rFonts w:ascii="楷体_GB2312" w:eastAsia="楷体_GB2312" w:cs="DengXian-Bold"/>
          <w:b/>
          <w:bCs/>
          <w:sz w:val="32"/>
          <w:szCs w:val="32"/>
        </w:rPr>
      </w:pPr>
    </w:p>
    <w:p w:rsidR="00F26C76" w:rsidRDefault="00F71E32" w:rsidP="00F26C76">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hint="eastAsia"/>
          <w:sz w:val="32"/>
          <w:szCs w:val="32"/>
        </w:rPr>
        <w:t>2638.50</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24.8%,</w:t>
      </w:r>
      <w:r>
        <w:rPr>
          <w:rFonts w:ascii="仿宋_GB2312" w:eastAsia="仿宋_GB2312" w:cs="DengXian-Regular" w:hint="eastAsia"/>
          <w:sz w:val="32"/>
          <w:szCs w:val="32"/>
        </w:rPr>
        <w:t>比年初预算减少</w:t>
      </w:r>
      <w:r>
        <w:rPr>
          <w:rFonts w:ascii="仿宋_GB2312" w:eastAsia="仿宋_GB2312" w:cs="DengXian-Regular" w:hint="eastAsia"/>
          <w:sz w:val="32"/>
          <w:szCs w:val="32"/>
        </w:rPr>
        <w:t>6499.75</w:t>
      </w:r>
      <w:r>
        <w:rPr>
          <w:rFonts w:ascii="仿宋_GB2312" w:eastAsia="仿宋_GB2312" w:cs="DengXian-Regular" w:hint="eastAsia"/>
          <w:sz w:val="32"/>
          <w:szCs w:val="32"/>
        </w:rPr>
        <w:t>万元，决</w:t>
      </w:r>
      <w:r>
        <w:rPr>
          <w:rFonts w:ascii="仿宋_GB2312" w:eastAsia="仿宋_GB2312" w:cs="DengXian-Regular" w:hint="eastAsia"/>
          <w:sz w:val="32"/>
          <w:szCs w:val="32"/>
        </w:rPr>
        <w:lastRenderedPageBreak/>
        <w:t>算数小于预算数主要是保障房项目减少；本年支出</w:t>
      </w:r>
      <w:r>
        <w:rPr>
          <w:rFonts w:ascii="仿宋_GB2312" w:eastAsia="仿宋_GB2312" w:cs="DengXian-Regular" w:hint="eastAsia"/>
          <w:sz w:val="32"/>
          <w:szCs w:val="32"/>
        </w:rPr>
        <w:t>1990.44</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18.71%,</w:t>
      </w:r>
      <w:r>
        <w:rPr>
          <w:rFonts w:ascii="仿宋_GB2312" w:eastAsia="仿宋_GB2312" w:cs="DengXian-Regular" w:hint="eastAsia"/>
          <w:sz w:val="32"/>
          <w:szCs w:val="32"/>
        </w:rPr>
        <w:t>比年初预算减少</w:t>
      </w:r>
      <w:r>
        <w:rPr>
          <w:rFonts w:ascii="仿宋_GB2312" w:eastAsia="仿宋_GB2312" w:cs="DengXian-Regular" w:hint="eastAsia"/>
          <w:sz w:val="32"/>
          <w:szCs w:val="32"/>
        </w:rPr>
        <w:t>8647.43</w:t>
      </w:r>
      <w:r>
        <w:rPr>
          <w:rFonts w:ascii="仿宋_GB2312" w:eastAsia="仿宋_GB2312" w:cs="DengXian-Regular" w:hint="eastAsia"/>
          <w:sz w:val="32"/>
          <w:szCs w:val="32"/>
        </w:rPr>
        <w:t>万元，决算数小于预算数主要是节能环保项目减少。</w:t>
      </w:r>
    </w:p>
    <w:p w:rsidR="00F26C76" w:rsidRDefault="00F71E32">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71E32">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noProof/>
          <w:sz w:val="32"/>
          <w:szCs w:val="32"/>
          <w:highlight w:val="yellow"/>
        </w:rPr>
        <w:drawing>
          <wp:anchor distT="0" distB="0" distL="114300" distR="114300" simplePos="0" relativeHeight="251660288" behindDoc="0" locked="0" layoutInCell="1" allowOverlap="1">
            <wp:simplePos x="0" y="0"/>
            <wp:positionH relativeFrom="column">
              <wp:posOffset>410845</wp:posOffset>
            </wp:positionH>
            <wp:positionV relativeFrom="paragraph">
              <wp:posOffset>-2939415</wp:posOffset>
            </wp:positionV>
            <wp:extent cx="5080000" cy="3228975"/>
            <wp:effectExtent l="4445" t="4445" r="20955" b="508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26C76">
      <w:pPr>
        <w:adjustRightInd w:val="0"/>
        <w:snapToGrid w:val="0"/>
        <w:spacing w:after="0" w:line="580" w:lineRule="exact"/>
        <w:ind w:firstLineChars="200" w:firstLine="640"/>
        <w:rPr>
          <w:rFonts w:ascii="仿宋_GB2312" w:eastAsia="仿宋_GB2312" w:cs="DengXian-Regular"/>
          <w:sz w:val="32"/>
          <w:szCs w:val="32"/>
          <w:highlight w:val="yellow"/>
        </w:rPr>
      </w:pPr>
    </w:p>
    <w:p w:rsidR="00F26C76" w:rsidRDefault="00F71E32">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1990.44</w:t>
      </w:r>
      <w:r>
        <w:rPr>
          <w:rFonts w:ascii="仿宋_GB2312" w:eastAsia="仿宋_GB2312" w:cs="DengXian-Regular" w:hint="eastAsia"/>
          <w:sz w:val="32"/>
          <w:szCs w:val="32"/>
        </w:rPr>
        <w:t>万元，主要用于以下方面：社会保障和就业（类）支出</w:t>
      </w:r>
      <w:r>
        <w:rPr>
          <w:rFonts w:ascii="仿宋_GB2312" w:eastAsia="仿宋_GB2312" w:cs="DengXian-Regular" w:hint="eastAsia"/>
          <w:sz w:val="32"/>
          <w:szCs w:val="32"/>
        </w:rPr>
        <w:t>23.90</w:t>
      </w:r>
      <w:r>
        <w:rPr>
          <w:rFonts w:ascii="仿宋_GB2312" w:eastAsia="仿宋_GB2312" w:cs="DengXian-Regular" w:hint="eastAsia"/>
          <w:sz w:val="32"/>
          <w:szCs w:val="32"/>
        </w:rPr>
        <w:t>万元，占</w:t>
      </w:r>
      <w:r>
        <w:rPr>
          <w:rFonts w:ascii="仿宋_GB2312" w:eastAsia="仿宋_GB2312" w:cs="DengXian-Regular" w:hint="eastAsia"/>
          <w:sz w:val="32"/>
          <w:szCs w:val="32"/>
        </w:rPr>
        <w:t>1.2%</w:t>
      </w:r>
      <w:r>
        <w:rPr>
          <w:rFonts w:ascii="仿宋_GB2312" w:eastAsia="仿宋_GB2312" w:cs="DengXian-Regular" w:hint="eastAsia"/>
          <w:sz w:val="32"/>
          <w:szCs w:val="32"/>
        </w:rPr>
        <w:t>；医疗卫生与计划生育（类）支出</w:t>
      </w:r>
      <w:r>
        <w:rPr>
          <w:rFonts w:ascii="仿宋_GB2312" w:eastAsia="仿宋_GB2312" w:cs="DengXian-Regular" w:hint="eastAsia"/>
          <w:sz w:val="32"/>
          <w:szCs w:val="32"/>
        </w:rPr>
        <w:t>11.53</w:t>
      </w:r>
      <w:r>
        <w:rPr>
          <w:rFonts w:ascii="仿宋_GB2312" w:eastAsia="仿宋_GB2312" w:cs="DengXian-Regular" w:hint="eastAsia"/>
          <w:sz w:val="32"/>
          <w:szCs w:val="32"/>
        </w:rPr>
        <w:t>万元，占</w:t>
      </w:r>
      <w:r>
        <w:rPr>
          <w:rFonts w:ascii="仿宋_GB2312" w:eastAsia="仿宋_GB2312" w:cs="DengXian-Regular" w:hint="eastAsia"/>
          <w:sz w:val="32"/>
          <w:szCs w:val="32"/>
        </w:rPr>
        <w:t>0.58%;</w:t>
      </w:r>
      <w:r>
        <w:rPr>
          <w:rFonts w:ascii="仿宋_GB2312" w:eastAsia="仿宋_GB2312" w:cs="DengXian-Regular" w:hint="eastAsia"/>
          <w:sz w:val="32"/>
          <w:szCs w:val="32"/>
        </w:rPr>
        <w:t>城乡社区（类）支出</w:t>
      </w:r>
      <w:r>
        <w:rPr>
          <w:rFonts w:ascii="仿宋_GB2312" w:eastAsia="仿宋_GB2312" w:cs="DengXian-Regular" w:hint="eastAsia"/>
          <w:sz w:val="32"/>
          <w:szCs w:val="32"/>
        </w:rPr>
        <w:t>1952.88</w:t>
      </w:r>
      <w:r>
        <w:rPr>
          <w:rFonts w:ascii="仿宋_GB2312" w:eastAsia="仿宋_GB2312" w:cs="DengXian-Regular" w:hint="eastAsia"/>
          <w:sz w:val="32"/>
          <w:szCs w:val="32"/>
        </w:rPr>
        <w:t>万元，占</w:t>
      </w:r>
      <w:r>
        <w:rPr>
          <w:rFonts w:ascii="仿宋_GB2312" w:eastAsia="仿宋_GB2312" w:cs="DengXian-Regular" w:hint="eastAsia"/>
          <w:sz w:val="32"/>
          <w:szCs w:val="32"/>
        </w:rPr>
        <w:t>98.11%;</w:t>
      </w:r>
      <w:r>
        <w:rPr>
          <w:rFonts w:ascii="仿宋_GB2312" w:eastAsia="仿宋_GB2312" w:cs="DengXian-Regular" w:hint="eastAsia"/>
          <w:sz w:val="32"/>
          <w:szCs w:val="32"/>
        </w:rPr>
        <w:t>住房保障（类）支出</w:t>
      </w:r>
      <w:r>
        <w:rPr>
          <w:rFonts w:ascii="仿宋_GB2312" w:eastAsia="仿宋_GB2312" w:cs="DengXian-Regular" w:hint="eastAsia"/>
          <w:sz w:val="32"/>
          <w:szCs w:val="32"/>
        </w:rPr>
        <w:t>2.13</w:t>
      </w:r>
      <w:r>
        <w:rPr>
          <w:rFonts w:ascii="仿宋_GB2312" w:eastAsia="仿宋_GB2312" w:cs="DengXian-Regular" w:hint="eastAsia"/>
          <w:sz w:val="32"/>
          <w:szCs w:val="32"/>
        </w:rPr>
        <w:t>万元，</w:t>
      </w:r>
      <w:r>
        <w:rPr>
          <w:rFonts w:ascii="仿宋_GB2312" w:eastAsia="仿宋_GB2312" w:cs="DengXian-Regular" w:hint="eastAsia"/>
          <w:sz w:val="32"/>
          <w:szCs w:val="32"/>
        </w:rPr>
        <w:t>0.11%</w:t>
      </w:r>
      <w:r>
        <w:rPr>
          <w:rFonts w:ascii="仿宋_GB2312" w:eastAsia="仿宋_GB2312" w:cs="DengXian-Regular" w:hint="eastAsia"/>
          <w:sz w:val="32"/>
          <w:szCs w:val="32"/>
        </w:rPr>
        <w:t>。</w:t>
      </w:r>
    </w:p>
    <w:p w:rsidR="00F26C76" w:rsidRDefault="00F71E32">
      <w:pPr>
        <w:adjustRightInd w:val="0"/>
        <w:snapToGrid w:val="0"/>
        <w:spacing w:after="0" w:line="580" w:lineRule="exact"/>
        <w:jc w:val="center"/>
        <w:rPr>
          <w:rFonts w:ascii="楷体_GB2312" w:eastAsia="楷体_GB2312" w:cs="DengXian-Bold"/>
          <w:b/>
          <w:bCs/>
          <w:sz w:val="32"/>
          <w:szCs w:val="32"/>
        </w:rPr>
      </w:pPr>
      <w:r>
        <w:rPr>
          <w:rFonts w:eastAsia="仿宋_GB2312" w:hint="eastAsia"/>
          <w:sz w:val="32"/>
          <w:szCs w:val="32"/>
        </w:rPr>
        <w:lastRenderedPageBreak/>
        <w:t>图</w:t>
      </w:r>
      <w:r>
        <w:rPr>
          <w:rFonts w:eastAsia="仿宋_GB2312" w:hint="eastAsia"/>
          <w:sz w:val="32"/>
          <w:szCs w:val="32"/>
        </w:rPr>
        <w:t>5</w:t>
      </w:r>
      <w:r>
        <w:rPr>
          <w:rFonts w:eastAsia="仿宋_GB2312" w:hint="eastAsia"/>
          <w:sz w:val="32"/>
          <w:szCs w:val="32"/>
        </w:rPr>
        <w:t>：财政拨款支出决算结构（按功能分类）</w:t>
      </w:r>
    </w:p>
    <w:p w:rsidR="00F26C76" w:rsidRDefault="00F26C76">
      <w:pPr>
        <w:adjustRightInd w:val="0"/>
        <w:snapToGrid w:val="0"/>
        <w:spacing w:after="0" w:line="580" w:lineRule="exact"/>
        <w:rPr>
          <w:rFonts w:ascii="楷体_GB2312" w:eastAsia="楷体_GB2312" w:cs="DengXian-Bold"/>
          <w:b/>
          <w:bCs/>
          <w:sz w:val="32"/>
          <w:szCs w:val="32"/>
        </w:rPr>
      </w:pPr>
    </w:p>
    <w:p w:rsidR="00F26C76" w:rsidRDefault="00F71E32">
      <w:pPr>
        <w:adjustRightInd w:val="0"/>
        <w:snapToGrid w:val="0"/>
        <w:spacing w:after="0" w:line="580" w:lineRule="exact"/>
        <w:rPr>
          <w:rFonts w:ascii="楷体_GB2312" w:eastAsia="楷体_GB2312" w:cs="DengXian-Bold"/>
          <w:b/>
          <w:bCs/>
          <w:sz w:val="32"/>
          <w:szCs w:val="32"/>
        </w:rPr>
      </w:pPr>
      <w:r>
        <w:rPr>
          <w:rFonts w:ascii="楷体_GB2312" w:eastAsia="楷体_GB2312" w:cs="DengXian-Bold" w:hint="eastAsia"/>
          <w:b/>
          <w:bCs/>
          <w:noProof/>
          <w:sz w:val="32"/>
          <w:szCs w:val="32"/>
        </w:rPr>
        <w:drawing>
          <wp:anchor distT="0" distB="0" distL="114300" distR="114300" simplePos="0" relativeHeight="251661312" behindDoc="0" locked="0" layoutInCell="1" allowOverlap="1">
            <wp:simplePos x="0" y="0"/>
            <wp:positionH relativeFrom="column">
              <wp:posOffset>175895</wp:posOffset>
            </wp:positionH>
            <wp:positionV relativeFrom="paragraph">
              <wp:posOffset>31750</wp:posOffset>
            </wp:positionV>
            <wp:extent cx="5080000" cy="3810000"/>
            <wp:effectExtent l="4445" t="4445" r="20955" b="1460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26C76" w:rsidRDefault="00F26C76">
      <w:pPr>
        <w:adjustRightInd w:val="0"/>
        <w:snapToGrid w:val="0"/>
        <w:spacing w:after="0" w:line="580" w:lineRule="exact"/>
        <w:rPr>
          <w:rFonts w:ascii="楷体_GB2312" w:eastAsia="楷体_GB2312" w:cs="DengXian-Bold"/>
          <w:b/>
          <w:bCs/>
          <w:sz w:val="32"/>
          <w:szCs w:val="32"/>
        </w:rPr>
      </w:pPr>
    </w:p>
    <w:p w:rsidR="00F26C76" w:rsidRDefault="00F71E32">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hint="eastAsia"/>
          <w:sz w:val="32"/>
          <w:szCs w:val="32"/>
        </w:rPr>
        <w:t>825.15</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787.14</w:t>
      </w:r>
      <w:r>
        <w:rPr>
          <w:rFonts w:ascii="仿宋_GB2312" w:eastAsia="仿宋_GB2312" w:cs="DengXian-Regular" w:hint="eastAsia"/>
          <w:sz w:val="32"/>
          <w:szCs w:val="32"/>
        </w:rPr>
        <w:t>万元，主要包括基本工资、津贴补贴、奖金、伙食补助费、绩效工资、</w:t>
      </w:r>
      <w:r>
        <w:rPr>
          <w:rFonts w:ascii="仿宋_GB2312" w:eastAsia="仿宋_GB2312" w:cs="DengXian-Regular" w:hint="eastAsia"/>
          <w:sz w:val="32"/>
          <w:szCs w:val="32"/>
        </w:rPr>
        <w:t>机关事业单位基本养老保险缴费、职业年金缴费、职工基本医疗保险缴费、公务员医疗补助缴费、住房公积金、医疗费、其他社会保障缴费、其他工资福利支出、离休费、退休费、抚恤金、生活补助、医疗费补助、</w:t>
      </w:r>
      <w:r>
        <w:rPr>
          <w:rFonts w:ascii="仿宋_GB2312" w:eastAsia="仿宋_GB2312" w:cs="DengXian-Regular" w:hint="eastAsia"/>
          <w:sz w:val="32"/>
          <w:szCs w:val="32"/>
        </w:rPr>
        <w:lastRenderedPageBreak/>
        <w:t>奖励金、其他对个人和家庭的补助支出等；公用经费</w:t>
      </w:r>
      <w:r>
        <w:rPr>
          <w:rFonts w:ascii="仿宋_GB2312" w:eastAsia="仿宋_GB2312" w:cs="DengXian-Regular" w:hint="eastAsia"/>
          <w:sz w:val="32"/>
          <w:szCs w:val="32"/>
        </w:rPr>
        <w:t>38.01</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w:t>
      </w:r>
      <w:r>
        <w:rPr>
          <w:rFonts w:ascii="仿宋_GB2312" w:eastAsia="仿宋_GB2312" w:cs="DengXian-Regular" w:hint="eastAsia"/>
          <w:sz w:val="32"/>
          <w:szCs w:val="32"/>
        </w:rPr>
        <w:t>商品和服务支出、办公设备购置、专用设备购置、信息网络及软件购置更新、公务用车购置、其他资本性支出等。</w:t>
      </w:r>
    </w:p>
    <w:p w:rsidR="00F26C76" w:rsidRDefault="00F71E32">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F26C76" w:rsidRDefault="00F71E32">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3.48</w:t>
      </w:r>
      <w:r>
        <w:rPr>
          <w:rFonts w:eastAsia="仿宋_GB2312"/>
          <w:sz w:val="32"/>
          <w:szCs w:val="32"/>
        </w:rPr>
        <w:t>万元，</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较年初预算无增减变化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1.5</w:t>
      </w:r>
      <w:r>
        <w:rPr>
          <w:rFonts w:eastAsia="仿宋_GB2312"/>
          <w:sz w:val="32"/>
          <w:szCs w:val="32"/>
        </w:rPr>
        <w:t>万元，降低</w:t>
      </w:r>
      <w:r>
        <w:rPr>
          <w:rFonts w:eastAsia="仿宋_GB2312" w:hint="eastAsia"/>
          <w:sz w:val="32"/>
          <w:szCs w:val="32"/>
        </w:rPr>
        <w:t>30</w:t>
      </w:r>
      <w:r>
        <w:rPr>
          <w:rFonts w:eastAsia="仿宋_GB2312"/>
          <w:sz w:val="32"/>
          <w:szCs w:val="32"/>
        </w:rPr>
        <w:t>%</w:t>
      </w:r>
      <w:r>
        <w:rPr>
          <w:rFonts w:eastAsia="仿宋_GB2312"/>
          <w:sz w:val="32"/>
          <w:szCs w:val="32"/>
        </w:rPr>
        <w:t>，主要是</w:t>
      </w:r>
      <w:r>
        <w:rPr>
          <w:rFonts w:eastAsia="仿宋_GB2312" w:hint="eastAsia"/>
          <w:sz w:val="32"/>
          <w:szCs w:val="32"/>
        </w:rPr>
        <w:t>压缩开支</w:t>
      </w:r>
      <w:r>
        <w:rPr>
          <w:rFonts w:eastAsia="仿宋_GB2312"/>
          <w:sz w:val="32"/>
          <w:szCs w:val="32"/>
        </w:rPr>
        <w:t>。具体情况如下：</w:t>
      </w:r>
    </w:p>
    <w:p w:rsidR="00F26C76" w:rsidRDefault="00F71E32" w:rsidP="00F26C76">
      <w:pPr>
        <w:adjustRightInd w:val="0"/>
        <w:snapToGrid w:val="0"/>
        <w:spacing w:line="584" w:lineRule="exact"/>
        <w:ind w:firstLineChars="200" w:firstLine="641"/>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较年初预算无增减变化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较</w:t>
      </w:r>
      <w:r>
        <w:rPr>
          <w:rFonts w:eastAsia="仿宋_GB2312"/>
          <w:color w:val="000000"/>
          <w:sz w:val="32"/>
          <w:szCs w:val="32"/>
        </w:rPr>
        <w:t>201</w:t>
      </w:r>
      <w:r>
        <w:rPr>
          <w:rFonts w:eastAsia="仿宋_GB2312" w:hint="eastAsia"/>
          <w:color w:val="000000"/>
          <w:sz w:val="32"/>
          <w:szCs w:val="32"/>
        </w:rPr>
        <w:t>7</w:t>
      </w:r>
      <w:r>
        <w:rPr>
          <w:rFonts w:eastAsia="仿宋_GB2312"/>
          <w:color w:val="000000"/>
          <w:sz w:val="32"/>
          <w:szCs w:val="32"/>
        </w:rPr>
        <w:t>年度决算无增减变化</w:t>
      </w:r>
      <w:r>
        <w:rPr>
          <w:rFonts w:eastAsia="仿宋_GB2312"/>
          <w:sz w:val="32"/>
          <w:szCs w:val="32"/>
        </w:rPr>
        <w:t>。</w:t>
      </w:r>
    </w:p>
    <w:p w:rsidR="00F26C76" w:rsidRDefault="00F71E32" w:rsidP="00F26C76">
      <w:pPr>
        <w:adjustRightInd w:val="0"/>
        <w:snapToGrid w:val="0"/>
        <w:spacing w:line="584" w:lineRule="exact"/>
        <w:ind w:firstLineChars="200" w:firstLine="641"/>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3.40</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lastRenderedPageBreak/>
        <w:t>2018</w:t>
      </w:r>
      <w:r>
        <w:rPr>
          <w:rFonts w:ascii="仿宋_GB2312" w:eastAsia="仿宋_GB2312" w:cs="DengXian-Regular" w:hint="eastAsia"/>
          <w:sz w:val="32"/>
          <w:szCs w:val="32"/>
        </w:rPr>
        <w:t>年度公务用车购置及运行维护费比年初预算</w:t>
      </w:r>
      <w:r>
        <w:rPr>
          <w:rFonts w:eastAsia="仿宋_GB2312"/>
          <w:sz w:val="32"/>
          <w:szCs w:val="32"/>
        </w:rPr>
        <w:t>增加</w:t>
      </w:r>
      <w:r>
        <w:rPr>
          <w:rFonts w:eastAsia="仿宋_GB2312" w:hint="eastAsia"/>
          <w:sz w:val="32"/>
          <w:szCs w:val="32"/>
        </w:rPr>
        <w:t>0</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增长</w:t>
      </w:r>
      <w:r>
        <w:rPr>
          <w:rFonts w:eastAsia="仿宋_GB2312" w:hint="eastAsia"/>
          <w:sz w:val="32"/>
          <w:szCs w:val="32"/>
        </w:rPr>
        <w:t>0</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color w:val="000000"/>
          <w:sz w:val="32"/>
          <w:szCs w:val="32"/>
        </w:rPr>
        <w:t>较年初预算无增减变化</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较</w:t>
      </w:r>
      <w:r>
        <w:rPr>
          <w:rFonts w:eastAsia="仿宋_GB2312"/>
          <w:color w:val="000000"/>
          <w:sz w:val="32"/>
          <w:szCs w:val="32"/>
        </w:rPr>
        <w:t>201</w:t>
      </w:r>
      <w:r>
        <w:rPr>
          <w:rFonts w:eastAsia="仿宋_GB2312" w:hint="eastAsia"/>
          <w:color w:val="000000"/>
          <w:sz w:val="32"/>
          <w:szCs w:val="32"/>
        </w:rPr>
        <w:t>7</w:t>
      </w:r>
      <w:r>
        <w:rPr>
          <w:rFonts w:eastAsia="仿宋_GB2312"/>
          <w:color w:val="000000"/>
          <w:sz w:val="32"/>
          <w:szCs w:val="32"/>
        </w:rPr>
        <w:t>年度决算无增减变化</w:t>
      </w:r>
      <w:r>
        <w:rPr>
          <w:rFonts w:eastAsia="仿宋_GB2312"/>
          <w:sz w:val="32"/>
          <w:szCs w:val="32"/>
        </w:rPr>
        <w:t>。</w:t>
      </w:r>
      <w:r>
        <w:rPr>
          <w:rFonts w:eastAsia="仿宋_GB2312"/>
          <w:b/>
          <w:bCs/>
          <w:sz w:val="32"/>
          <w:szCs w:val="32"/>
        </w:rPr>
        <w:t>其中：</w:t>
      </w:r>
    </w:p>
    <w:p w:rsidR="00F26C76" w:rsidRDefault="00F71E32" w:rsidP="00F26C76">
      <w:pPr>
        <w:adjustRightInd w:val="0"/>
        <w:snapToGrid w:val="0"/>
        <w:spacing w:line="584" w:lineRule="exact"/>
        <w:ind w:firstLineChars="200" w:firstLine="641"/>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较年初预算无增减变化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较</w:t>
      </w:r>
      <w:r>
        <w:rPr>
          <w:rFonts w:eastAsia="仿宋_GB2312"/>
          <w:color w:val="000000"/>
          <w:sz w:val="32"/>
          <w:szCs w:val="32"/>
        </w:rPr>
        <w:t>201</w:t>
      </w:r>
      <w:r>
        <w:rPr>
          <w:rFonts w:eastAsia="仿宋_GB2312" w:hint="eastAsia"/>
          <w:color w:val="000000"/>
          <w:sz w:val="32"/>
          <w:szCs w:val="32"/>
        </w:rPr>
        <w:t>7</w:t>
      </w:r>
      <w:r>
        <w:rPr>
          <w:rFonts w:eastAsia="仿宋_GB2312"/>
          <w:color w:val="000000"/>
          <w:sz w:val="32"/>
          <w:szCs w:val="32"/>
        </w:rPr>
        <w:t>年度决算无增减变化</w:t>
      </w:r>
      <w:r>
        <w:rPr>
          <w:rFonts w:eastAsia="仿宋_GB2312"/>
          <w:sz w:val="32"/>
          <w:szCs w:val="32"/>
        </w:rPr>
        <w:t>。</w:t>
      </w:r>
    </w:p>
    <w:p w:rsidR="00F26C76" w:rsidRDefault="00F71E32" w:rsidP="00F26C76">
      <w:pPr>
        <w:adjustRightInd w:val="0"/>
        <w:snapToGrid w:val="0"/>
        <w:spacing w:line="584" w:lineRule="exact"/>
        <w:ind w:firstLineChars="200" w:firstLine="641"/>
        <w:rPr>
          <w:rFonts w:eastAsia="仿宋_GB2312"/>
          <w:sz w:val="32"/>
          <w:szCs w:val="32"/>
          <w:highlight w:val="yellow"/>
        </w:rPr>
      </w:pPr>
      <w:r>
        <w:rPr>
          <w:rFonts w:eastAsia="仿宋_GB2312"/>
          <w:b/>
          <w:sz w:val="32"/>
          <w:szCs w:val="32"/>
        </w:rPr>
        <w:t>公务用车运行维护费支出</w:t>
      </w:r>
      <w:r>
        <w:rPr>
          <w:rFonts w:eastAsia="仿宋_GB2312" w:hint="eastAsia"/>
          <w:b/>
          <w:sz w:val="32"/>
          <w:szCs w:val="32"/>
        </w:rPr>
        <w:t>3.40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2</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较年初预算无增减变化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减少</w:t>
      </w:r>
      <w:r>
        <w:rPr>
          <w:rFonts w:eastAsia="仿宋_GB2312" w:hint="eastAsia"/>
          <w:sz w:val="32"/>
          <w:szCs w:val="32"/>
        </w:rPr>
        <w:t>1.48</w:t>
      </w:r>
      <w:r>
        <w:rPr>
          <w:rFonts w:eastAsia="仿宋_GB2312"/>
          <w:sz w:val="32"/>
          <w:szCs w:val="32"/>
        </w:rPr>
        <w:t>万元，降低</w:t>
      </w:r>
      <w:r>
        <w:rPr>
          <w:rFonts w:eastAsia="仿宋_GB2312" w:hint="eastAsia"/>
          <w:sz w:val="32"/>
          <w:szCs w:val="32"/>
        </w:rPr>
        <w:t>30.32</w:t>
      </w:r>
      <w:r>
        <w:rPr>
          <w:rFonts w:eastAsia="仿宋_GB2312"/>
          <w:sz w:val="32"/>
          <w:szCs w:val="32"/>
        </w:rPr>
        <w:t>%</w:t>
      </w:r>
      <w:r>
        <w:rPr>
          <w:rFonts w:eastAsia="仿宋_GB2312"/>
          <w:sz w:val="32"/>
          <w:szCs w:val="32"/>
        </w:rPr>
        <w:t>，主要是</w:t>
      </w:r>
      <w:r>
        <w:rPr>
          <w:rFonts w:eastAsia="仿宋_GB2312" w:hint="eastAsia"/>
          <w:sz w:val="32"/>
          <w:szCs w:val="32"/>
        </w:rPr>
        <w:t>稽查任务减少</w:t>
      </w:r>
      <w:r>
        <w:rPr>
          <w:rFonts w:eastAsia="仿宋_GB2312"/>
          <w:sz w:val="32"/>
          <w:szCs w:val="32"/>
        </w:rPr>
        <w:t>。</w:t>
      </w:r>
    </w:p>
    <w:p w:rsidR="00F26C76" w:rsidRDefault="00F71E32" w:rsidP="00F26C76">
      <w:pPr>
        <w:adjustRightInd w:val="0"/>
        <w:snapToGrid w:val="0"/>
        <w:spacing w:line="584" w:lineRule="exact"/>
        <w:ind w:firstLineChars="200" w:firstLine="641"/>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0.08</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5</w:t>
      </w:r>
      <w:r>
        <w:rPr>
          <w:rFonts w:eastAsia="仿宋_GB2312"/>
          <w:sz w:val="32"/>
          <w:szCs w:val="32"/>
        </w:rPr>
        <w:t>批次、</w:t>
      </w:r>
      <w:r>
        <w:rPr>
          <w:rFonts w:eastAsia="仿宋_GB2312" w:hint="eastAsia"/>
          <w:sz w:val="32"/>
          <w:szCs w:val="32"/>
        </w:rPr>
        <w:t>50</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较年初预算无增减变化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0.02</w:t>
      </w:r>
      <w:r>
        <w:rPr>
          <w:rFonts w:eastAsia="仿宋_GB2312"/>
          <w:sz w:val="32"/>
          <w:szCs w:val="32"/>
        </w:rPr>
        <w:t>万元，降低</w:t>
      </w:r>
      <w:r>
        <w:rPr>
          <w:rFonts w:eastAsia="仿宋_GB2312" w:hint="eastAsia"/>
          <w:sz w:val="32"/>
          <w:szCs w:val="32"/>
        </w:rPr>
        <w:t>20</w:t>
      </w:r>
      <w:r>
        <w:rPr>
          <w:rFonts w:eastAsia="仿宋_GB2312"/>
          <w:sz w:val="32"/>
          <w:szCs w:val="32"/>
        </w:rPr>
        <w:t>%</w:t>
      </w:r>
      <w:r>
        <w:rPr>
          <w:rFonts w:eastAsia="仿宋_GB2312"/>
          <w:sz w:val="32"/>
          <w:szCs w:val="32"/>
        </w:rPr>
        <w:t>，主要是</w:t>
      </w:r>
      <w:r>
        <w:rPr>
          <w:rFonts w:eastAsia="仿宋_GB2312" w:hint="eastAsia"/>
          <w:sz w:val="32"/>
          <w:szCs w:val="32"/>
        </w:rPr>
        <w:t>上级检查业务减少，接待人数减少</w:t>
      </w:r>
      <w:r>
        <w:rPr>
          <w:rFonts w:eastAsia="仿宋_GB2312"/>
          <w:sz w:val="32"/>
          <w:szCs w:val="32"/>
        </w:rPr>
        <w:t>。</w:t>
      </w:r>
    </w:p>
    <w:p w:rsidR="00F26C76" w:rsidRDefault="00F71E32">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F26C76" w:rsidRDefault="00F71E32">
      <w:pPr>
        <w:pStyle w:val="ab"/>
        <w:autoSpaceDE w:val="0"/>
        <w:autoSpaceDN w:val="0"/>
        <w:adjustRightInd w:val="0"/>
        <w:spacing w:line="584" w:lineRule="exact"/>
        <w:ind w:left="640" w:firstLineChars="0" w:firstLine="0"/>
        <w:jc w:val="left"/>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F26C76" w:rsidRDefault="00F71E32">
      <w:pPr>
        <w:pStyle w:val="ab"/>
        <w:autoSpaceDE w:val="0"/>
        <w:autoSpaceDN w:val="0"/>
        <w:adjustRightInd w:val="0"/>
        <w:spacing w:line="584" w:lineRule="exact"/>
        <w:ind w:left="640" w:firstLineChars="0" w:firstLine="0"/>
        <w:jc w:val="left"/>
        <w:rPr>
          <w:rFonts w:eastAsia="仿宋_GB2312"/>
          <w:kern w:val="0"/>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w:t>
      </w:r>
      <w:r>
        <w:rPr>
          <w:rFonts w:eastAsia="仿宋_GB2312" w:hint="eastAsia"/>
          <w:kern w:val="0"/>
          <w:sz w:val="32"/>
          <w:szCs w:val="32"/>
        </w:rPr>
        <w:t>保障性住房：研究制定了保障性安居工程建设规划，拟定年度建设目标并监督实施；承担现保障性安居工程领导</w:t>
      </w:r>
      <w:r>
        <w:rPr>
          <w:rFonts w:eastAsia="仿宋_GB2312" w:hint="eastAsia"/>
          <w:kern w:val="0"/>
          <w:sz w:val="32"/>
          <w:szCs w:val="32"/>
        </w:rPr>
        <w:lastRenderedPageBreak/>
        <w:t>小组办公室职责；研究拟定保障性安居工程政策并监督实施，对项目分配、管理和运营情况监督指导；组织实施县保障房建设和管理。及时出台了政策，妥善处理房改遗留问题，避免产生新的社会矛盾。</w:t>
      </w:r>
    </w:p>
    <w:p w:rsidR="00F26C76" w:rsidRDefault="00F71E32">
      <w:pPr>
        <w:pStyle w:val="ab"/>
        <w:autoSpaceDE w:val="0"/>
        <w:autoSpaceDN w:val="0"/>
        <w:adjustRightInd w:val="0"/>
        <w:spacing w:line="584" w:lineRule="exact"/>
        <w:ind w:left="640" w:firstLineChars="0" w:firstLine="0"/>
        <w:jc w:val="left"/>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、房产交易管理：办理全县范围内的房产交易事宜；负责全县商品房预售合同备案工作。</w:t>
      </w:r>
    </w:p>
    <w:p w:rsidR="00F26C76" w:rsidRDefault="00F71E32">
      <w:pPr>
        <w:pStyle w:val="ab"/>
        <w:autoSpaceDE w:val="0"/>
        <w:autoSpaceDN w:val="0"/>
        <w:adjustRightInd w:val="0"/>
        <w:spacing w:line="584" w:lineRule="exact"/>
        <w:ind w:left="640" w:firstLineChars="0" w:firstLine="0"/>
        <w:jc w:val="left"/>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F26C76" w:rsidRDefault="00F71E32">
      <w:pPr>
        <w:pStyle w:val="ab"/>
        <w:autoSpaceDE w:val="0"/>
        <w:autoSpaceDN w:val="0"/>
        <w:adjustRightInd w:val="0"/>
        <w:spacing w:line="584" w:lineRule="exact"/>
        <w:ind w:left="640" w:firstLineChars="0" w:firstLine="0"/>
        <w:jc w:val="left"/>
        <w:rPr>
          <w:rFonts w:eastAsia="仿宋_GB2312"/>
          <w:kern w:val="0"/>
          <w:sz w:val="32"/>
          <w:szCs w:val="32"/>
        </w:rPr>
      </w:pPr>
      <w:r>
        <w:rPr>
          <w:rFonts w:eastAsia="仿宋_GB2312"/>
          <w:kern w:val="0"/>
          <w:sz w:val="32"/>
          <w:szCs w:val="32"/>
        </w:rPr>
        <w:t>201</w:t>
      </w:r>
      <w:r>
        <w:rPr>
          <w:rFonts w:eastAsia="仿宋_GB2312" w:hint="eastAsia"/>
          <w:kern w:val="0"/>
          <w:sz w:val="32"/>
          <w:szCs w:val="32"/>
        </w:rPr>
        <w:t>8</w:t>
      </w:r>
      <w:r>
        <w:rPr>
          <w:rFonts w:eastAsia="仿宋_GB2312" w:hint="eastAsia"/>
          <w:kern w:val="0"/>
          <w:sz w:val="32"/>
          <w:szCs w:val="32"/>
        </w:rPr>
        <w:t>年我单位实行项目绩效自评的项目资金及时拨付列支，保质保量完成绩效任务，评价结果为良好。</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F26C76" w:rsidRDefault="00F71E32">
      <w:pPr>
        <w:pStyle w:val="ab"/>
        <w:autoSpaceDE w:val="0"/>
        <w:autoSpaceDN w:val="0"/>
        <w:adjustRightInd w:val="0"/>
        <w:spacing w:line="584" w:lineRule="exact"/>
        <w:ind w:left="640" w:firstLineChars="0" w:firstLine="0"/>
        <w:jc w:val="left"/>
        <w:rPr>
          <w:rFonts w:eastAsia="仿宋_GB2312"/>
          <w:kern w:val="0"/>
          <w:sz w:val="32"/>
          <w:szCs w:val="32"/>
        </w:rPr>
      </w:pPr>
      <w:r>
        <w:rPr>
          <w:rFonts w:eastAsia="仿宋_GB2312"/>
          <w:kern w:val="0"/>
          <w:sz w:val="32"/>
          <w:szCs w:val="32"/>
        </w:rPr>
        <w:t>201</w:t>
      </w:r>
      <w:r>
        <w:rPr>
          <w:rFonts w:eastAsia="仿宋_GB2312" w:hint="eastAsia"/>
          <w:kern w:val="0"/>
          <w:sz w:val="32"/>
          <w:szCs w:val="32"/>
        </w:rPr>
        <w:t>8</w:t>
      </w:r>
      <w:r>
        <w:rPr>
          <w:rFonts w:eastAsia="仿宋_GB2312" w:hint="eastAsia"/>
          <w:kern w:val="0"/>
          <w:sz w:val="32"/>
          <w:szCs w:val="32"/>
        </w:rPr>
        <w:t>年我单位实行项目绩效自评的重点项目资金及时拨付列支，保质保量完成绩效任务，评价结果为良好。</w:t>
      </w:r>
    </w:p>
    <w:p w:rsidR="00F26C76" w:rsidRDefault="00F71E32">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F26C76" w:rsidRDefault="00F71E32" w:rsidP="00F26C7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38.01</w:t>
      </w:r>
      <w:r>
        <w:rPr>
          <w:rFonts w:ascii="仿宋_GB2312" w:eastAsia="仿宋_GB2312" w:cs="DengXian-Regular" w:hint="eastAsia"/>
          <w:sz w:val="32"/>
          <w:szCs w:val="32"/>
        </w:rPr>
        <w:t>万元，比年初预算数减少</w:t>
      </w:r>
      <w:r>
        <w:rPr>
          <w:rFonts w:ascii="仿宋_GB2312" w:eastAsia="仿宋_GB2312" w:cs="DengXian-Regular" w:hint="eastAsia"/>
          <w:sz w:val="32"/>
          <w:szCs w:val="32"/>
        </w:rPr>
        <w:t>7.21</w:t>
      </w:r>
      <w:r>
        <w:rPr>
          <w:rFonts w:ascii="仿宋_GB2312" w:eastAsia="仿宋_GB2312" w:cs="DengXian-Regular" w:hint="eastAsia"/>
          <w:sz w:val="32"/>
          <w:szCs w:val="32"/>
        </w:rPr>
        <w:t>万元，降低</w:t>
      </w:r>
      <w:r>
        <w:rPr>
          <w:rFonts w:ascii="仿宋_GB2312" w:eastAsia="仿宋_GB2312" w:cs="DengXian-Regular" w:hint="eastAsia"/>
          <w:sz w:val="32"/>
          <w:szCs w:val="32"/>
        </w:rPr>
        <w:t>15.94</w:t>
      </w:r>
      <w:r>
        <w:rPr>
          <w:rFonts w:eastAsia="仿宋_GB2312"/>
          <w:sz w:val="32"/>
          <w:szCs w:val="32"/>
        </w:rPr>
        <w:t>%</w:t>
      </w:r>
      <w:r>
        <w:rPr>
          <w:rFonts w:ascii="仿宋_GB2312" w:eastAsia="仿宋_GB2312" w:cs="DengXian-Regular" w:hint="eastAsia"/>
          <w:sz w:val="32"/>
          <w:szCs w:val="32"/>
        </w:rPr>
        <w:t>。主要是压缩开支。</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40.16</w:t>
      </w:r>
      <w:r>
        <w:rPr>
          <w:rFonts w:eastAsia="仿宋_GB2312"/>
          <w:sz w:val="32"/>
          <w:szCs w:val="32"/>
        </w:rPr>
        <w:t>万元，降低</w:t>
      </w:r>
      <w:r>
        <w:rPr>
          <w:rFonts w:eastAsia="仿宋_GB2312" w:hint="eastAsia"/>
          <w:sz w:val="32"/>
          <w:szCs w:val="32"/>
        </w:rPr>
        <w:t>51.38</w:t>
      </w:r>
      <w:r>
        <w:rPr>
          <w:rFonts w:eastAsia="仿宋_GB2312"/>
          <w:sz w:val="32"/>
          <w:szCs w:val="32"/>
        </w:rPr>
        <w:t>%</w:t>
      </w:r>
      <w:r>
        <w:rPr>
          <w:rFonts w:eastAsia="仿宋_GB2312"/>
          <w:sz w:val="32"/>
          <w:szCs w:val="32"/>
        </w:rPr>
        <w:t>，主要是</w:t>
      </w:r>
      <w:r>
        <w:rPr>
          <w:rFonts w:eastAsia="仿宋_GB2312" w:hint="eastAsia"/>
          <w:sz w:val="32"/>
          <w:szCs w:val="32"/>
        </w:rPr>
        <w:t>压缩开支</w:t>
      </w:r>
      <w:r>
        <w:rPr>
          <w:rFonts w:eastAsia="仿宋_GB2312"/>
          <w:sz w:val="32"/>
          <w:szCs w:val="32"/>
        </w:rPr>
        <w:t>。</w:t>
      </w:r>
    </w:p>
    <w:p w:rsidR="00F26C76" w:rsidRDefault="00F71E32" w:rsidP="00F26C7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F26C76" w:rsidRDefault="00F71E32">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0.75</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w:t>
      </w:r>
      <w:r>
        <w:rPr>
          <w:rFonts w:ascii="仿宋_GB2312" w:eastAsia="仿宋_GB2312" w:hAnsi="仿宋_GB2312" w:cs="仿宋_GB2312"/>
          <w:color w:val="000000"/>
          <w:kern w:val="0"/>
          <w:sz w:val="32"/>
          <w:szCs w:val="32"/>
        </w:rPr>
        <w:lastRenderedPageBreak/>
        <w:t>政府采购服务支出</w:t>
      </w:r>
      <w:r>
        <w:rPr>
          <w:rFonts w:ascii="仿宋_GB2312" w:eastAsia="仿宋_GB2312" w:hAnsi="仿宋_GB2312" w:cs="仿宋_GB2312" w:hint="eastAsia"/>
          <w:color w:val="000000"/>
          <w:kern w:val="0"/>
          <w:sz w:val="32"/>
          <w:szCs w:val="32"/>
        </w:rPr>
        <w:t>0.75</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0.75</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w:t>
      </w:r>
      <w:bookmarkStart w:id="0" w:name="_GoBack"/>
      <w:bookmarkEnd w:id="0"/>
    </w:p>
    <w:p w:rsidR="00F26C76" w:rsidRDefault="00F71E32" w:rsidP="00F26C7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2</w:t>
      </w:r>
      <w:r>
        <w:rPr>
          <w:rFonts w:ascii="仿宋_GB2312" w:eastAsia="仿宋_GB2312" w:cs="DengXian-Regular" w:hint="eastAsia"/>
          <w:sz w:val="32"/>
          <w:szCs w:val="32"/>
        </w:rPr>
        <w:t>辆，比上年增加</w:t>
      </w:r>
      <w:r>
        <w:rPr>
          <w:rFonts w:ascii="仿宋_GB2312" w:eastAsia="仿宋_GB2312" w:cs="DengXian-Regular" w:hint="eastAsia"/>
          <w:sz w:val="32"/>
          <w:szCs w:val="32"/>
        </w:rPr>
        <w:t>0</w:t>
      </w:r>
      <w:r>
        <w:rPr>
          <w:rFonts w:ascii="仿宋_GB2312" w:eastAsia="仿宋_GB2312" w:cs="DengXian-Regular" w:hint="eastAsia"/>
          <w:sz w:val="32"/>
          <w:szCs w:val="32"/>
        </w:rPr>
        <w:t>辆，主要是较上年无增减变化。其中，副部（省）级及以上领导用车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2</w:t>
      </w:r>
      <w:r>
        <w:rPr>
          <w:rFonts w:ascii="仿宋_GB2312" w:eastAsia="仿宋_GB2312" w:cs="DengXian-Regular" w:hint="eastAsia"/>
          <w:sz w:val="32"/>
          <w:szCs w:val="32"/>
        </w:rPr>
        <w:t>辆，其他用车主要是机关用车和执法用车各一辆；单位价值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Pr>
          <w:rFonts w:ascii="仿宋_GB2312" w:eastAsia="仿宋_GB2312" w:cs="DengXian-Regular" w:hint="eastAsia"/>
          <w:sz w:val="32"/>
          <w:szCs w:val="32"/>
        </w:rPr>
        <w:t>0</w:t>
      </w:r>
      <w:r>
        <w:rPr>
          <w:rFonts w:ascii="仿宋_GB2312" w:eastAsia="仿宋_GB2312" w:cs="DengXian-Regular" w:hint="eastAsia"/>
          <w:sz w:val="32"/>
          <w:szCs w:val="32"/>
        </w:rPr>
        <w:t>套，主要</w:t>
      </w:r>
      <w:r>
        <w:rPr>
          <w:rFonts w:ascii="仿宋_GB2312" w:eastAsia="仿宋_GB2312" w:cs="DengXian-Regular" w:hint="eastAsia"/>
          <w:sz w:val="32"/>
          <w:szCs w:val="32"/>
        </w:rPr>
        <w:t>是无此类设备</w:t>
      </w:r>
      <w:r>
        <w:rPr>
          <w:rFonts w:ascii="仿宋_GB2312" w:eastAsia="仿宋_GB2312" w:cs="DengXian-Regular" w:hint="eastAsia"/>
          <w:sz w:val="32"/>
          <w:szCs w:val="32"/>
        </w:rPr>
        <w:t xml:space="preserve"> </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Pr>
          <w:rFonts w:ascii="仿宋_GB2312" w:eastAsia="仿宋_GB2312" w:cs="DengXian-Regular" w:hint="eastAsia"/>
          <w:sz w:val="32"/>
          <w:szCs w:val="32"/>
        </w:rPr>
        <w:t>0</w:t>
      </w:r>
      <w:r>
        <w:rPr>
          <w:rFonts w:ascii="仿宋_GB2312" w:eastAsia="仿宋_GB2312" w:cs="DengXian-Regular" w:hint="eastAsia"/>
          <w:sz w:val="32"/>
          <w:szCs w:val="32"/>
        </w:rPr>
        <w:t>套</w:t>
      </w:r>
      <w:r>
        <w:rPr>
          <w:rFonts w:ascii="仿宋_GB2312" w:eastAsia="仿宋_GB2312" w:cs="DengXian-Regular" w:hint="eastAsia"/>
          <w:sz w:val="32"/>
          <w:szCs w:val="32"/>
        </w:rPr>
        <w:t>,</w:t>
      </w:r>
      <w:r>
        <w:rPr>
          <w:rFonts w:ascii="仿宋_GB2312" w:eastAsia="仿宋_GB2312" w:cs="DengXian-Regular" w:hint="eastAsia"/>
          <w:sz w:val="32"/>
          <w:szCs w:val="32"/>
        </w:rPr>
        <w:t>主要是无此类设备。</w:t>
      </w:r>
    </w:p>
    <w:p w:rsidR="00F26C76" w:rsidRDefault="00F71E32" w:rsidP="00F26C7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年度政府性基金预算财政拨款、国有资本经营预算财政拨款无收支及结转结余情况，故政府性基金预算财政拨款、国有资本经营预算财政拨款表以空表列示。</w:t>
      </w:r>
    </w:p>
    <w:p w:rsidR="00F26C76" w:rsidRDefault="00F71E3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F26C76" w:rsidRDefault="00F26C76">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F26C76">
          <w:pgSz w:w="11906" w:h="16838"/>
          <w:pgMar w:top="2098" w:right="1474" w:bottom="1984" w:left="1588" w:header="851" w:footer="992" w:gutter="0"/>
          <w:cols w:space="0"/>
          <w:docGrid w:type="lines" w:linePitch="312"/>
        </w:sectPr>
      </w:pPr>
    </w:p>
    <w:p w:rsidR="00F26C76" w:rsidRDefault="00F26C76">
      <w:pPr>
        <w:widowControl/>
        <w:spacing w:line="1200" w:lineRule="exact"/>
        <w:jc w:val="center"/>
        <w:rPr>
          <w:rFonts w:asciiTheme="minorEastAsia" w:eastAsiaTheme="minorEastAsia" w:hAnsi="宋体"/>
          <w:color w:val="000000" w:themeColor="text1"/>
          <w:sz w:val="96"/>
          <w:szCs w:val="96"/>
        </w:rPr>
      </w:pPr>
    </w:p>
    <w:p w:rsidR="00F26C76" w:rsidRDefault="00F26C76">
      <w:pPr>
        <w:widowControl/>
        <w:spacing w:line="1200" w:lineRule="exact"/>
        <w:jc w:val="center"/>
        <w:rPr>
          <w:rFonts w:asciiTheme="minorEastAsia" w:eastAsiaTheme="minorEastAsia" w:hAnsi="宋体"/>
          <w:color w:val="000000" w:themeColor="text1"/>
          <w:sz w:val="96"/>
          <w:szCs w:val="96"/>
        </w:rPr>
      </w:pPr>
    </w:p>
    <w:p w:rsidR="00F26C76" w:rsidRDefault="00F26C76">
      <w:pPr>
        <w:widowControl/>
        <w:spacing w:line="1200" w:lineRule="exact"/>
        <w:jc w:val="center"/>
        <w:rPr>
          <w:rFonts w:asciiTheme="minorEastAsia" w:eastAsiaTheme="minorEastAsia" w:hAnsi="宋体"/>
          <w:color w:val="000000" w:themeColor="text1"/>
          <w:sz w:val="96"/>
          <w:szCs w:val="96"/>
        </w:rPr>
      </w:pPr>
    </w:p>
    <w:p w:rsidR="00F26C76" w:rsidRDefault="00F71E32">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F26C76" w:rsidRDefault="00F71E32">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F26C76" w:rsidRDefault="00F26C76">
      <w:pPr>
        <w:rPr>
          <w:rFonts w:ascii="宋体" w:hAnsi="宋体" w:cs="ArialUnicodeMS"/>
          <w:color w:val="000000"/>
          <w:kern w:val="0"/>
        </w:rPr>
        <w:sectPr w:rsidR="00F26C76">
          <w:pgSz w:w="11906" w:h="16838"/>
          <w:pgMar w:top="2098" w:right="1474" w:bottom="1984" w:left="1588" w:header="851" w:footer="992" w:gutter="0"/>
          <w:cols w:space="0"/>
          <w:docGrid w:type="lines" w:linePitch="312"/>
        </w:sectPr>
      </w:pP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w:t>
      </w:r>
      <w:r>
        <w:rPr>
          <w:rFonts w:ascii="仿宋_GB2312" w:eastAsia="仿宋_GB2312" w:hAnsiTheme="majorEastAsia" w:hint="eastAsia"/>
          <w:color w:val="000000"/>
          <w:kern w:val="0"/>
          <w:sz w:val="32"/>
          <w:szCs w:val="32"/>
        </w:rPr>
        <w:t>到下年或以后年度继续使用的资金，或项目已完成等产生的结余资金。</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w:t>
      </w:r>
      <w:r>
        <w:rPr>
          <w:rFonts w:ascii="仿宋_GB2312" w:eastAsia="仿宋_GB2312" w:hAnsiTheme="majorEastAsia" w:hint="eastAsia"/>
          <w:color w:val="000000"/>
          <w:kern w:val="0"/>
          <w:sz w:val="32"/>
          <w:szCs w:val="32"/>
        </w:rPr>
        <w:t>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w:t>
      </w:r>
      <w:r>
        <w:rPr>
          <w:rFonts w:ascii="仿宋_GB2312" w:eastAsia="仿宋_GB2312" w:hAnsiTheme="majorEastAsia" w:hint="eastAsia"/>
          <w:color w:val="000000"/>
          <w:kern w:val="0"/>
          <w:sz w:val="32"/>
          <w:szCs w:val="32"/>
        </w:rPr>
        <w:t>务用车购置支出（含车辆购置税、牌照费）。</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F26C76" w:rsidRDefault="00F71E32" w:rsidP="00F26C76">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26C76" w:rsidRDefault="00F71E32" w:rsidP="00F26C76">
      <w:pPr>
        <w:widowControl/>
        <w:spacing w:after="0" w:line="560" w:lineRule="exact"/>
        <w:ind w:firstLineChars="200" w:firstLine="641"/>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b/>
          <w:bCs/>
          <w:color w:val="000000"/>
          <w:kern w:val="0"/>
          <w:sz w:val="32"/>
          <w:szCs w:val="32"/>
        </w:rPr>
        <w:t>:</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w:t>
      </w:r>
      <w:r>
        <w:rPr>
          <w:rFonts w:ascii="仿宋_GB2312" w:eastAsia="仿宋_GB2312" w:hAnsiTheme="minorHAnsi" w:cs="ArialUnicodeMS" w:hint="eastAsia"/>
          <w:kern w:val="0"/>
          <w:sz w:val="32"/>
          <w:szCs w:val="32"/>
        </w:rPr>
        <w:t>性资金定额或定项补助、财政性资金零补助四类。</w:t>
      </w:r>
    </w:p>
    <w:p w:rsidR="00F26C76" w:rsidRDefault="00F26C76">
      <w:pPr>
        <w:widowControl/>
        <w:spacing w:after="0" w:line="560" w:lineRule="exact"/>
        <w:ind w:firstLineChars="200" w:firstLine="640"/>
        <w:rPr>
          <w:rFonts w:ascii="仿宋_GB2312" w:eastAsia="仿宋_GB2312" w:hAnsiTheme="minorHAnsi" w:cs="ArialUnicodeMS"/>
          <w:kern w:val="0"/>
          <w:sz w:val="32"/>
          <w:szCs w:val="32"/>
        </w:rPr>
      </w:pPr>
    </w:p>
    <w:p w:rsidR="00F26C76" w:rsidRDefault="00F26C76">
      <w:pPr>
        <w:widowControl/>
        <w:spacing w:after="0" w:line="560" w:lineRule="exact"/>
        <w:ind w:firstLineChars="200" w:firstLine="640"/>
        <w:rPr>
          <w:rFonts w:ascii="仿宋_GB2312" w:eastAsia="仿宋_GB2312" w:hAnsiTheme="minorHAnsi" w:cs="ArialUnicodeMS"/>
          <w:kern w:val="0"/>
          <w:sz w:val="32"/>
          <w:szCs w:val="32"/>
        </w:rPr>
      </w:pPr>
    </w:p>
    <w:p w:rsidR="00F26C76" w:rsidRDefault="00F26C76">
      <w:pPr>
        <w:widowControl/>
        <w:spacing w:after="0" w:line="560" w:lineRule="exact"/>
        <w:ind w:firstLineChars="200" w:firstLine="640"/>
        <w:rPr>
          <w:rFonts w:ascii="仿宋_GB2312" w:eastAsia="仿宋_GB2312" w:hAnsiTheme="minorHAnsi" w:cs="ArialUnicodeMS"/>
          <w:kern w:val="0"/>
          <w:sz w:val="32"/>
          <w:szCs w:val="32"/>
        </w:rPr>
      </w:pPr>
    </w:p>
    <w:p w:rsidR="00F26C76" w:rsidRDefault="00F26C76">
      <w:pPr>
        <w:widowControl/>
        <w:spacing w:after="0" w:line="560" w:lineRule="exact"/>
        <w:ind w:firstLineChars="200" w:firstLine="640"/>
        <w:rPr>
          <w:rFonts w:ascii="仿宋_GB2312" w:eastAsia="仿宋_GB2312" w:hAnsiTheme="minorHAnsi" w:cs="ArialUnicodeMS"/>
          <w:kern w:val="0"/>
          <w:sz w:val="32"/>
          <w:szCs w:val="32"/>
        </w:rPr>
      </w:pPr>
    </w:p>
    <w:p w:rsidR="00F26C76" w:rsidRDefault="00F26C76">
      <w:pPr>
        <w:widowControl/>
        <w:spacing w:after="0" w:line="560" w:lineRule="exact"/>
        <w:ind w:firstLineChars="200" w:firstLine="640"/>
        <w:rPr>
          <w:rFonts w:ascii="仿宋_GB2312" w:eastAsia="仿宋_GB2312" w:hAnsiTheme="minorHAnsi" w:cs="ArialUnicodeMS"/>
          <w:kern w:val="0"/>
          <w:sz w:val="32"/>
          <w:szCs w:val="32"/>
        </w:rPr>
      </w:pPr>
    </w:p>
    <w:p w:rsidR="00F26C76" w:rsidRDefault="00F26C76">
      <w:pPr>
        <w:widowControl/>
        <w:spacing w:after="0" w:line="560" w:lineRule="exact"/>
        <w:ind w:firstLineChars="200" w:firstLine="640"/>
        <w:rPr>
          <w:rFonts w:ascii="仿宋_GB2312" w:eastAsia="仿宋_GB2312" w:hAnsiTheme="minorHAnsi" w:cs="ArialUnicodeMS"/>
          <w:kern w:val="0"/>
          <w:sz w:val="32"/>
          <w:szCs w:val="32"/>
        </w:rPr>
      </w:pPr>
    </w:p>
    <w:p w:rsidR="00F26C76" w:rsidRDefault="00F26C76">
      <w:pPr>
        <w:widowControl/>
        <w:spacing w:after="0" w:line="560" w:lineRule="exact"/>
        <w:ind w:firstLineChars="200" w:firstLine="640"/>
        <w:rPr>
          <w:rFonts w:ascii="仿宋_GB2312" w:eastAsia="仿宋_GB2312" w:hAnsiTheme="minorHAnsi" w:cs="ArialUnicodeMS"/>
          <w:kern w:val="0"/>
          <w:sz w:val="32"/>
          <w:szCs w:val="32"/>
        </w:rPr>
      </w:pPr>
    </w:p>
    <w:p w:rsidR="00F26C76" w:rsidRDefault="00F26C76">
      <w:pPr>
        <w:widowControl/>
        <w:spacing w:after="0" w:line="560" w:lineRule="exact"/>
        <w:ind w:firstLineChars="200" w:firstLine="640"/>
        <w:rPr>
          <w:rFonts w:ascii="仿宋_GB2312" w:eastAsia="仿宋_GB2312" w:hAnsiTheme="minorHAnsi" w:cs="ArialUnicodeMS"/>
          <w:kern w:val="0"/>
          <w:sz w:val="32"/>
          <w:szCs w:val="32"/>
        </w:rPr>
      </w:pPr>
    </w:p>
    <w:p w:rsidR="00F26C76" w:rsidRDefault="00F26C76">
      <w:pPr>
        <w:widowControl/>
        <w:spacing w:after="0" w:line="560" w:lineRule="exact"/>
        <w:ind w:firstLineChars="200" w:firstLine="640"/>
        <w:rPr>
          <w:rFonts w:ascii="仿宋_GB2312" w:eastAsia="仿宋_GB2312" w:hAnsiTheme="minorHAnsi" w:cs="ArialUnicodeMS"/>
          <w:kern w:val="0"/>
          <w:sz w:val="32"/>
          <w:szCs w:val="32"/>
        </w:rPr>
      </w:pPr>
    </w:p>
    <w:p w:rsidR="00F26C76" w:rsidRDefault="00F26C76">
      <w:pPr>
        <w:widowControl/>
        <w:spacing w:after="0" w:line="560" w:lineRule="exact"/>
        <w:rPr>
          <w:rFonts w:ascii="仿宋_GB2312" w:eastAsia="仿宋_GB2312" w:hAnsiTheme="minorHAnsi" w:cs="ArialUnicodeMS"/>
          <w:kern w:val="0"/>
          <w:sz w:val="32"/>
          <w:szCs w:val="32"/>
        </w:rPr>
      </w:pPr>
    </w:p>
    <w:sectPr w:rsidR="00F26C76" w:rsidSect="00F26C76">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E9DAED37-F463-40FF-9431-09DA869B975E}"/>
  </w:font>
  <w:font w:name="楷体">
    <w:panose1 w:val="02010609060101010101"/>
    <w:charset w:val="86"/>
    <w:family w:val="modern"/>
    <w:pitch w:val="fixed"/>
    <w:sig w:usb0="800002BF" w:usb1="38CF7CFA" w:usb2="00000016" w:usb3="00000000" w:csb0="00040001" w:csb1="00000000"/>
  </w:font>
  <w:font w:name="仿宋_GB2312">
    <w:charset w:val="86"/>
    <w:family w:val="modern"/>
    <w:pitch w:val="default"/>
    <w:sig w:usb0="00000000" w:usb1="00000000" w:usb2="00000000" w:usb3="00000000" w:csb0="00000000" w:csb1="00000000"/>
    <w:embedRegular r:id="rId2" w:subsetted="1" w:fontKey="{45981F69-70F1-4F11-BEB7-A9803D572F52}"/>
    <w:embedBold r:id="rId3" w:subsetted="1" w:fontKey="{59A1E817-EF01-433A-9602-F9C7BEE83B05}"/>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10" w:usb3="00000000" w:csb0="00040000" w:csb1="00000000"/>
    <w:embedBold r:id="rId4" w:subsetted="1" w:fontKey="{7FBA3E2C-0C52-4494-9EED-85ED86AFC8D3}"/>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370B4"/>
    <w:rsid w:val="000475A0"/>
    <w:rsid w:val="00067693"/>
    <w:rsid w:val="000838C3"/>
    <w:rsid w:val="0009601A"/>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2F68"/>
    <w:rsid w:val="005E3FB0"/>
    <w:rsid w:val="005F4B66"/>
    <w:rsid w:val="005F5208"/>
    <w:rsid w:val="00615C31"/>
    <w:rsid w:val="00641318"/>
    <w:rsid w:val="0064405D"/>
    <w:rsid w:val="00695557"/>
    <w:rsid w:val="006B419F"/>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D65CA"/>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26C76"/>
    <w:rsid w:val="00F679C7"/>
    <w:rsid w:val="00F71E32"/>
    <w:rsid w:val="00F7711A"/>
    <w:rsid w:val="00F80C72"/>
    <w:rsid w:val="00FA0D58"/>
    <w:rsid w:val="00FA1580"/>
    <w:rsid w:val="00FA56F4"/>
    <w:rsid w:val="00FB4EDA"/>
    <w:rsid w:val="00FD3BD5"/>
    <w:rsid w:val="00FE3DC8"/>
    <w:rsid w:val="04073F84"/>
    <w:rsid w:val="0B60750A"/>
    <w:rsid w:val="0CC3583C"/>
    <w:rsid w:val="10686488"/>
    <w:rsid w:val="10DF728A"/>
    <w:rsid w:val="1264200E"/>
    <w:rsid w:val="141C5B77"/>
    <w:rsid w:val="18D8339D"/>
    <w:rsid w:val="19B866EF"/>
    <w:rsid w:val="1A21388F"/>
    <w:rsid w:val="1A570D2F"/>
    <w:rsid w:val="1CD64037"/>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77B6C25"/>
    <w:rsid w:val="699A3F60"/>
    <w:rsid w:val="72902E62"/>
    <w:rsid w:val="73C61104"/>
    <w:rsid w:val="74B0703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76"/>
    <w:pPr>
      <w:widowControl w:val="0"/>
      <w:spacing w:after="160" w:line="480" w:lineRule="auto"/>
      <w:jc w:val="both"/>
    </w:pPr>
    <w:rPr>
      <w:rFonts w:ascii="Times New Roman" w:hAnsi="Times New Roman"/>
      <w:kern w:val="2"/>
      <w:sz w:val="21"/>
      <w:szCs w:val="24"/>
    </w:rPr>
  </w:style>
  <w:style w:type="paragraph" w:styleId="1">
    <w:name w:val="heading 1"/>
    <w:basedOn w:val="a"/>
    <w:next w:val="a"/>
    <w:link w:val="1Char"/>
    <w:uiPriority w:val="9"/>
    <w:qFormat/>
    <w:rsid w:val="00F26C7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26C7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26C7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26C7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26C76"/>
    <w:pPr>
      <w:ind w:leftChars="2500" w:left="100"/>
    </w:pPr>
  </w:style>
  <w:style w:type="paragraph" w:styleId="a4">
    <w:name w:val="Balloon Text"/>
    <w:basedOn w:val="a"/>
    <w:link w:val="Char0"/>
    <w:uiPriority w:val="99"/>
    <w:semiHidden/>
    <w:unhideWhenUsed/>
    <w:qFormat/>
    <w:rsid w:val="00F26C76"/>
    <w:rPr>
      <w:sz w:val="18"/>
      <w:szCs w:val="18"/>
    </w:rPr>
  </w:style>
  <w:style w:type="paragraph" w:styleId="a5">
    <w:name w:val="footer"/>
    <w:basedOn w:val="a"/>
    <w:link w:val="Char1"/>
    <w:uiPriority w:val="99"/>
    <w:unhideWhenUsed/>
    <w:qFormat/>
    <w:rsid w:val="00F26C76"/>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F26C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F26C76"/>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F26C76"/>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F26C76"/>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F26C76"/>
    <w:rPr>
      <w:sz w:val="18"/>
      <w:szCs w:val="18"/>
    </w:rPr>
  </w:style>
  <w:style w:type="character" w:customStyle="1" w:styleId="Char1">
    <w:name w:val="页脚 Char"/>
    <w:basedOn w:val="a0"/>
    <w:link w:val="a5"/>
    <w:uiPriority w:val="99"/>
    <w:qFormat/>
    <w:rsid w:val="00F26C76"/>
    <w:rPr>
      <w:sz w:val="18"/>
      <w:szCs w:val="18"/>
    </w:rPr>
  </w:style>
  <w:style w:type="paragraph" w:styleId="aa">
    <w:name w:val="No Spacing"/>
    <w:link w:val="Char5"/>
    <w:uiPriority w:val="1"/>
    <w:qFormat/>
    <w:rsid w:val="00F26C76"/>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a"/>
    <w:uiPriority w:val="1"/>
    <w:qFormat/>
    <w:rsid w:val="00F26C76"/>
    <w:rPr>
      <w:kern w:val="0"/>
      <w:sz w:val="22"/>
    </w:rPr>
  </w:style>
  <w:style w:type="character" w:customStyle="1" w:styleId="Char0">
    <w:name w:val="批注框文本 Char"/>
    <w:basedOn w:val="a0"/>
    <w:link w:val="a4"/>
    <w:uiPriority w:val="99"/>
    <w:semiHidden/>
    <w:qFormat/>
    <w:rsid w:val="00F26C76"/>
    <w:rPr>
      <w:rFonts w:ascii="Times New Roman" w:eastAsia="宋体" w:hAnsi="Times New Roman" w:cs="Times New Roman"/>
      <w:sz w:val="18"/>
      <w:szCs w:val="18"/>
    </w:rPr>
  </w:style>
  <w:style w:type="character" w:customStyle="1" w:styleId="Char4">
    <w:name w:val="标题 Char"/>
    <w:basedOn w:val="a0"/>
    <w:link w:val="a8"/>
    <w:uiPriority w:val="10"/>
    <w:qFormat/>
    <w:rsid w:val="00F26C76"/>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F26C76"/>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F26C76"/>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F26C76"/>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F26C76"/>
    <w:rPr>
      <w:rFonts w:asciiTheme="minorHAnsi" w:eastAsiaTheme="minorEastAsia" w:hAnsiTheme="minorEastAsia" w:cstheme="minorBidi"/>
      <w:szCs w:val="22"/>
      <w:lang w:eastAsia="zh-CN"/>
    </w:rPr>
  </w:style>
  <w:style w:type="character" w:customStyle="1" w:styleId="Style4">
    <w:name w:val="Style4"/>
    <w:basedOn w:val="a0"/>
    <w:uiPriority w:val="1"/>
    <w:qFormat/>
    <w:rsid w:val="00F26C76"/>
    <w:rPr>
      <w:rFonts w:asciiTheme="minorHAnsi" w:eastAsiaTheme="minorEastAsia" w:hAnsiTheme="minorEastAsia" w:cstheme="minorBidi"/>
      <w:szCs w:val="22"/>
      <w:lang w:eastAsia="zh-CN"/>
    </w:rPr>
  </w:style>
  <w:style w:type="character" w:customStyle="1" w:styleId="Style5">
    <w:name w:val="Style5"/>
    <w:basedOn w:val="a0"/>
    <w:uiPriority w:val="1"/>
    <w:qFormat/>
    <w:rsid w:val="00F26C76"/>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F26C76"/>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F26C76"/>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F26C76"/>
    <w:rPr>
      <w:rFonts w:ascii="Times New Roman" w:eastAsia="宋体" w:hAnsi="Times New Roman" w:cs="Times New Roman"/>
      <w:b/>
      <w:bCs/>
      <w:sz w:val="32"/>
      <w:szCs w:val="32"/>
    </w:rPr>
  </w:style>
  <w:style w:type="character" w:customStyle="1" w:styleId="4Char">
    <w:name w:val="标题 4 Char"/>
    <w:basedOn w:val="a0"/>
    <w:link w:val="4"/>
    <w:uiPriority w:val="9"/>
    <w:qFormat/>
    <w:rsid w:val="00F26C76"/>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F26C76"/>
    <w:rPr>
      <w:rFonts w:ascii="Times New Roman" w:eastAsia="宋体" w:hAnsi="Times New Roman" w:cs="Times New Roman"/>
      <w:szCs w:val="24"/>
    </w:rPr>
  </w:style>
  <w:style w:type="paragraph" w:styleId="ab">
    <w:name w:val="List Paragraph"/>
    <w:basedOn w:val="a"/>
    <w:uiPriority w:val="99"/>
    <w:unhideWhenUsed/>
    <w:qFormat/>
    <w:rsid w:val="00F26C7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5" Type="http://schemas.openxmlformats.org/officeDocument/2006/relationships/styles" Target="styles.xml"/><Relationship Id="rId10" Type="http://schemas.openxmlformats.org/officeDocument/2006/relationships/chart" Target="charts/chart3.xml"/><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5.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收入决算情况</c:v>
                </c:pt>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dPt>
            <c:idx val="2"/>
            <c:spPr>
              <a:solidFill>
                <a:schemeClr val="accent3">
                  <a:tint val="100000"/>
                  <a:shade val="100000"/>
                  <a:hueMod val="100000"/>
                  <a:satMod val="100000"/>
                </a:schemeClr>
              </a:solidFill>
              <a:ln w="19050">
                <a:solidFill>
                  <a:schemeClr val="lt1"/>
                </a:solidFill>
              </a:ln>
              <a:effectLst/>
            </c:spPr>
          </c:dPt>
          <c:dPt>
            <c:idx val="3"/>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2638.5</c:v>
                </c:pt>
                <c:pt idx="1">
                  <c:v>0</c:v>
                </c:pt>
                <c:pt idx="2">
                  <c:v>0</c:v>
                </c:pt>
                <c:pt idx="3">
                  <c:v>0</c:v>
                </c:pt>
              </c:numCache>
            </c:numRef>
          </c:val>
        </c:ser>
        <c:dLbls>
          <c:showPercent val="1"/>
        </c:dLbls>
        <c:firstSliceAng val="0"/>
      </c:pieChart>
      <c:spPr>
        <a:noFill/>
        <a:ln>
          <a:noFill/>
        </a:ln>
        <a:effectLst/>
      </c:spPr>
    </c:plotArea>
    <c:legend>
      <c:legendPos val="r"/>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Sheet1!#REF!</c:f>
              <c:strCache>
                <c:ptCount val="1"/>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dPt>
            <c:idx val="2"/>
            <c:spPr>
              <a:solidFill>
                <a:schemeClr val="accent3">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825.15</c:v>
                </c:pt>
                <c:pt idx="1">
                  <c:v>1165.29</c:v>
                </c:pt>
                <c:pt idx="2">
                  <c:v>0</c:v>
                </c:pt>
              </c:numCache>
            </c:numRef>
          </c:val>
        </c:ser>
        <c:dLbls>
          <c:showPercent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a:t>
            </a:r>
          </a:p>
        </c:rich>
      </c:tx>
      <c:spPr>
        <a:noFill/>
        <a:ln>
          <a:noFill/>
        </a:ln>
        <a:effectLst/>
      </c:spPr>
    </c:title>
    <c:plotArea>
      <c:layout/>
      <c:barChart>
        <c:barDir val="col"/>
        <c:grouping val="clustered"/>
        <c:ser>
          <c:idx val="0"/>
          <c:order val="0"/>
          <c:tx>
            <c:strRef>
              <c:f>Sheet1!$B$1</c:f>
              <c:strCache>
                <c:ptCount val="1"/>
                <c:pt idx="0">
                  <c:v>2018年</c:v>
                </c:pt>
              </c:strCache>
            </c:strRef>
          </c:tx>
          <c:spPr>
            <a:solidFill>
              <a:schemeClr val="accent1">
                <a:tint val="100000"/>
                <a:shade val="100000"/>
                <a:hueMod val="100000"/>
                <a:satMod val="100000"/>
              </a:schemeClr>
            </a:solidFill>
            <a:ln>
              <a:noFill/>
            </a:ln>
            <a:effectLst/>
          </c:spPr>
          <c:cat>
            <c:strRef>
              <c:f>Sheet1!$A$2:$A$3</c:f>
              <c:strCache>
                <c:ptCount val="2"/>
                <c:pt idx="0">
                  <c:v>本年收入</c:v>
                </c:pt>
                <c:pt idx="1">
                  <c:v>本年支出</c:v>
                </c:pt>
              </c:strCache>
            </c:strRef>
          </c:cat>
          <c:val>
            <c:numRef>
              <c:f>Sheet1!$B$2:$B$3</c:f>
              <c:numCache>
                <c:formatCode>General</c:formatCode>
                <c:ptCount val="2"/>
                <c:pt idx="0">
                  <c:v>2638.5</c:v>
                </c:pt>
                <c:pt idx="1">
                  <c:v>1990.44</c:v>
                </c:pt>
              </c:numCache>
            </c:numRef>
          </c:val>
        </c:ser>
        <c:ser>
          <c:idx val="1"/>
          <c:order val="1"/>
          <c:tx>
            <c:strRef>
              <c:f>Sheet1!$C$1</c:f>
              <c:strCache>
                <c:ptCount val="1"/>
                <c:pt idx="0">
                  <c:v>2017年</c:v>
                </c:pt>
              </c:strCache>
            </c:strRef>
          </c:tx>
          <c:spPr>
            <a:solidFill>
              <a:schemeClr val="accent2">
                <a:tint val="100000"/>
                <a:shade val="100000"/>
                <a:hueMod val="100000"/>
                <a:satMod val="100000"/>
              </a:schemeClr>
            </a:solidFill>
            <a:ln>
              <a:noFill/>
            </a:ln>
            <a:effectLst/>
          </c:spPr>
          <c:cat>
            <c:strRef>
              <c:f>Sheet1!$A$2:$A$3</c:f>
              <c:strCache>
                <c:ptCount val="2"/>
                <c:pt idx="0">
                  <c:v>本年收入</c:v>
                </c:pt>
                <c:pt idx="1">
                  <c:v>本年支出</c:v>
                </c:pt>
              </c:strCache>
            </c:strRef>
          </c:cat>
          <c:val>
            <c:numRef>
              <c:f>Sheet1!$C$2:$C$3</c:f>
              <c:numCache>
                <c:formatCode>General</c:formatCode>
                <c:ptCount val="2"/>
                <c:pt idx="0">
                  <c:v>4138.1200000000008</c:v>
                </c:pt>
                <c:pt idx="1">
                  <c:v>4812.6600000000008</c:v>
                </c:pt>
              </c:numCache>
            </c:numRef>
          </c:val>
        </c:ser>
        <c:dLbls/>
        <c:gapWidth val="219"/>
        <c:overlap val="-27"/>
        <c:axId val="77828864"/>
        <c:axId val="77830400"/>
      </c:barChart>
      <c:catAx>
        <c:axId val="7782886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830400"/>
        <c:crosses val="autoZero"/>
        <c:auto val="1"/>
        <c:lblAlgn val="ctr"/>
        <c:lblOffset val="100"/>
      </c:catAx>
      <c:valAx>
        <c:axId val="7783040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82886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a:t>
            </a:r>
          </a:p>
        </c:rich>
      </c:tx>
      <c:spPr>
        <a:noFill/>
        <a:ln>
          <a:noFill/>
        </a:ln>
        <a:effectLst/>
      </c:spPr>
    </c:title>
    <c:plotArea>
      <c:layout/>
      <c:barChart>
        <c:barDir val="col"/>
        <c:grouping val="clustered"/>
        <c:ser>
          <c:idx val="0"/>
          <c:order val="0"/>
          <c:tx>
            <c:strRef>
              <c:f>Sheet1!$B$1</c:f>
              <c:strCache>
                <c:ptCount val="1"/>
                <c:pt idx="0">
                  <c:v>决算数</c:v>
                </c:pt>
              </c:strCache>
            </c:strRef>
          </c:tx>
          <c:spPr>
            <a:solidFill>
              <a:schemeClr val="accent1">
                <a:tint val="100000"/>
                <a:shade val="100000"/>
                <a:hueMod val="100000"/>
                <a:satMod val="100000"/>
              </a:schemeClr>
            </a:solidFill>
            <a:ln>
              <a:noFill/>
            </a:ln>
            <a:effectLst/>
          </c:spPr>
          <c:cat>
            <c:strRef>
              <c:f>Sheet1!$A$2:$A$3</c:f>
              <c:strCache>
                <c:ptCount val="2"/>
                <c:pt idx="0">
                  <c:v>本年收入</c:v>
                </c:pt>
                <c:pt idx="1">
                  <c:v>本年支出</c:v>
                </c:pt>
              </c:strCache>
            </c:strRef>
          </c:cat>
          <c:val>
            <c:numRef>
              <c:f>Sheet1!$B$2:$B$3</c:f>
              <c:numCache>
                <c:formatCode>General</c:formatCode>
                <c:ptCount val="2"/>
                <c:pt idx="0">
                  <c:v>2638.5</c:v>
                </c:pt>
                <c:pt idx="1">
                  <c:v>1990.44</c:v>
                </c:pt>
              </c:numCache>
            </c:numRef>
          </c:val>
        </c:ser>
        <c:ser>
          <c:idx val="1"/>
          <c:order val="1"/>
          <c:tx>
            <c:strRef>
              <c:f>Sheet1!$C$1</c:f>
              <c:strCache>
                <c:ptCount val="1"/>
                <c:pt idx="0">
                  <c:v>预算数</c:v>
                </c:pt>
              </c:strCache>
            </c:strRef>
          </c:tx>
          <c:spPr>
            <a:solidFill>
              <a:schemeClr val="accent2">
                <a:tint val="100000"/>
                <a:shade val="100000"/>
                <a:hueMod val="100000"/>
                <a:satMod val="100000"/>
              </a:schemeClr>
            </a:solidFill>
            <a:ln>
              <a:noFill/>
            </a:ln>
            <a:effectLst/>
          </c:spPr>
          <c:cat>
            <c:strRef>
              <c:f>Sheet1!$A$2:$A$3</c:f>
              <c:strCache>
                <c:ptCount val="2"/>
                <c:pt idx="0">
                  <c:v>本年收入</c:v>
                </c:pt>
                <c:pt idx="1">
                  <c:v>本年支出</c:v>
                </c:pt>
              </c:strCache>
            </c:strRef>
          </c:cat>
          <c:val>
            <c:numRef>
              <c:f>Sheet1!$C$2:$C$3</c:f>
              <c:numCache>
                <c:formatCode>General</c:formatCode>
                <c:ptCount val="2"/>
                <c:pt idx="0">
                  <c:v>10637.869999999999</c:v>
                </c:pt>
                <c:pt idx="1">
                  <c:v>10637.869999999999</c:v>
                </c:pt>
              </c:numCache>
            </c:numRef>
          </c:val>
        </c:ser>
        <c:dLbls/>
        <c:gapWidth val="219"/>
        <c:overlap val="-27"/>
        <c:axId val="78551296"/>
        <c:axId val="78561280"/>
      </c:barChart>
      <c:catAx>
        <c:axId val="78551296"/>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8561280"/>
        <c:crosses val="autoZero"/>
        <c:auto val="1"/>
        <c:lblAlgn val="ctr"/>
        <c:lblOffset val="100"/>
      </c:catAx>
      <c:valAx>
        <c:axId val="7856128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855129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支出决算结构情况</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dPt>
            <c:idx val="2"/>
            <c:spPr>
              <a:solidFill>
                <a:schemeClr val="accent3">
                  <a:tint val="100000"/>
                  <a:shade val="100000"/>
                  <a:hueMod val="100000"/>
                  <a:satMod val="100000"/>
                </a:schemeClr>
              </a:solidFill>
              <a:ln w="19050">
                <a:solidFill>
                  <a:schemeClr val="lt1"/>
                </a:solidFill>
              </a:ln>
              <a:effectLst/>
            </c:spPr>
          </c:dPt>
          <c:dPt>
            <c:idx val="3"/>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c:v>
                </c:pt>
                <c:pt idx="1">
                  <c:v>医疗卫生与计划生育</c:v>
                </c:pt>
                <c:pt idx="2">
                  <c:v>城乡社区</c:v>
                </c:pt>
                <c:pt idx="3">
                  <c:v>住房保障</c:v>
                </c:pt>
              </c:strCache>
            </c:strRef>
          </c:cat>
          <c:val>
            <c:numRef>
              <c:f>Sheet1!$B$2:$B$5</c:f>
              <c:numCache>
                <c:formatCode>General</c:formatCode>
                <c:ptCount val="4"/>
                <c:pt idx="0">
                  <c:v>23.9</c:v>
                </c:pt>
                <c:pt idx="1">
                  <c:v>11.53</c:v>
                </c:pt>
                <c:pt idx="2">
                  <c:v>1952.8799999999999</c:v>
                </c:pt>
                <c:pt idx="3">
                  <c:v>2.13</c:v>
                </c:pt>
              </c:numCache>
            </c:numRef>
          </c:val>
        </c:ser>
        <c:dLbls>
          <c:showPercent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C853CB5-E4D0-4BE0-96CF-EFDB5C31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1723</Words>
  <Characters>9824</Characters>
  <Application>Microsoft Office Word</Application>
  <DocSecurity>0</DocSecurity>
  <Lines>81</Lines>
  <Paragraphs>23</Paragraphs>
  <ScaleCrop>false</ScaleCrop>
  <Company>Microsoft</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XTZJ</cp:lastModifiedBy>
  <cp:revision>26</cp:revision>
  <cp:lastPrinted>2019-09-27T00:42:00Z</cp:lastPrinted>
  <dcterms:created xsi:type="dcterms:W3CDTF">2019-09-26T01:09:00Z</dcterms:created>
  <dcterms:modified xsi:type="dcterms:W3CDTF">2019-11-15T06:07:00Z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