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中共河北省大城县委办公室机关事务管理组</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w:t>
      </w: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中共河北省大城县委办公室机关事务管理组</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hint="eastAsia" w:ascii="方正仿宋_GBK" w:eastAsia="方正仿宋_GBK"/>
          <w:sz w:val="28"/>
          <w:lang w:eastAsia="zh-CN"/>
        </w:rPr>
      </w:pPr>
      <w:r>
        <w:rPr>
          <w:rFonts w:ascii="方正仿宋_GBK" w:eastAsia="方正仿宋_GBK"/>
          <w:sz w:val="28"/>
        </w:rPr>
        <w:t>提高服务保障能力，以为领导和干部职工全心全意服务为宗旨</w:t>
      </w:r>
      <w:r>
        <w:rPr>
          <w:rFonts w:hint="eastAsia" w:ascii="方正仿宋_GBK" w:eastAsia="方正仿宋_GBK"/>
          <w:sz w:val="28"/>
          <w:lang w:eastAsia="zh-CN"/>
        </w:rPr>
        <w:t>，</w:t>
      </w:r>
      <w:r>
        <w:rPr>
          <w:rFonts w:ascii="方正仿宋_GBK" w:eastAsia="方正仿宋_GBK"/>
          <w:sz w:val="28"/>
        </w:rPr>
        <w:t>对机关食堂、理发室工作人员制定了严格的工作制度进一步明确了工作要求，增加了食堂、理发室、医务室工作人员的服务意识。加强机关配套设施维</w:t>
      </w:r>
      <w:r>
        <w:rPr>
          <w:rFonts w:hint="eastAsia" w:ascii="方正仿宋_GBK" w:eastAsia="方正仿宋_GBK"/>
          <w:sz w:val="28"/>
          <w:lang w:eastAsia="zh-CN"/>
        </w:rPr>
        <w:t>修维</w:t>
      </w:r>
      <w:r>
        <w:rPr>
          <w:rFonts w:ascii="方正仿宋_GBK" w:eastAsia="方正仿宋_GBK"/>
          <w:sz w:val="28"/>
        </w:rPr>
        <w:t>护工作</w:t>
      </w:r>
      <w:r>
        <w:rPr>
          <w:rFonts w:hint="eastAsia" w:ascii="方正仿宋_GBK" w:eastAsia="方正仿宋_GBK"/>
          <w:sz w:val="28"/>
          <w:lang w:eastAsia="zh-CN"/>
        </w:rPr>
        <w:t>，</w:t>
      </w:r>
      <w:r>
        <w:rPr>
          <w:rFonts w:ascii="方正仿宋_GBK" w:eastAsia="方正仿宋_GBK"/>
          <w:sz w:val="28"/>
        </w:rPr>
        <w:t>对行政中心老化设施设备进行维修更换</w:t>
      </w:r>
      <w:r>
        <w:rPr>
          <w:rFonts w:hint="eastAsia" w:ascii="方正仿宋_GBK" w:eastAsia="方正仿宋_GBK"/>
          <w:sz w:val="28"/>
          <w:lang w:eastAsia="zh-CN"/>
        </w:rPr>
        <w:t>，</w:t>
      </w:r>
      <w:r>
        <w:rPr>
          <w:rFonts w:ascii="方正仿宋_GBK" w:eastAsia="方正仿宋_GBK"/>
          <w:sz w:val="28"/>
        </w:rPr>
        <w:t>全面做好行政中心院内美化、绿化、亮化及水电暖的正常维修检修工作,由物业公司管理行政中心保安保洁工作</w:t>
      </w:r>
      <w:r>
        <w:rPr>
          <w:rFonts w:hint="eastAsia" w:ascii="方正仿宋_GBK" w:eastAsia="方正仿宋_GBK"/>
          <w:sz w:val="28"/>
          <w:lang w:eastAsia="zh-CN"/>
        </w:rPr>
        <w:t>，做到卫生整洁无死角，</w:t>
      </w:r>
      <w:r>
        <w:rPr>
          <w:rFonts w:ascii="方正仿宋_GBK" w:eastAsia="方正仿宋_GBK"/>
          <w:sz w:val="28"/>
        </w:rPr>
        <w:t>加强对保安人员、门卫管理教育，严格落实来人来访登记联系制度</w:t>
      </w:r>
      <w:r>
        <w:rPr>
          <w:rFonts w:hint="eastAsia" w:ascii="方正仿宋_GBK" w:eastAsia="方正仿宋_GBK"/>
          <w:sz w:val="28"/>
          <w:lang w:eastAsia="zh-CN"/>
        </w:rPr>
        <w:t>，</w:t>
      </w:r>
      <w:r>
        <w:rPr>
          <w:rFonts w:ascii="方正仿宋_GBK" w:eastAsia="方正仿宋_GBK"/>
          <w:sz w:val="28"/>
        </w:rPr>
        <w:t>规范机关车辆停放秩序，确保全体干部职工有一个舒适的工作环境。</w:t>
      </w:r>
    </w:p>
    <w:p>
      <w:pPr>
        <w:autoSpaceDE w:val="0"/>
        <w:autoSpaceDN w:val="0"/>
        <w:adjustRightInd w:val="0"/>
        <w:spacing w:line="584" w:lineRule="exact"/>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中共河北省大城县委办公室机关事务管理组</w:t>
            </w:r>
          </w:p>
        </w:tc>
        <w:tc>
          <w:tcPr>
            <w:tcW w:w="1134"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行政</w:t>
            </w:r>
          </w:p>
        </w:tc>
        <w:tc>
          <w:tcPr>
            <w:tcW w:w="1276" w:type="dxa"/>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方正书宋_GBK" w:cs="Times New Roman"/>
                <w:szCs w:val="24"/>
                <w:lang w:eastAsia="zh-CN"/>
              </w:rPr>
              <w:t>正科级</w:t>
            </w:r>
          </w:p>
        </w:tc>
        <w:tc>
          <w:tcPr>
            <w:tcW w:w="2902" w:type="dxa"/>
            <w:shd w:val="clear" w:color="auto" w:fill="auto"/>
            <w:vAlign w:val="center"/>
          </w:tcPr>
          <w:p>
            <w:pPr>
              <w:spacing w:line="300" w:lineRule="exact"/>
              <w:jc w:val="left"/>
              <w:rPr>
                <w:rFonts w:hint="eastAsia" w:ascii="Times New Roman" w:hAnsi="Times New Roman" w:eastAsia="仿宋_GB2312" w:cs="Times New Roman"/>
                <w:b/>
                <w:lang w:val="en-US" w:eastAsia="zh-CN"/>
              </w:rPr>
            </w:pPr>
            <w:r>
              <w:rPr>
                <w:rFonts w:hint="eastAsia" w:ascii="Times New Roman" w:hAnsi="Times New Roman" w:eastAsia="方正书宋_GBK" w:cs="Times New Roman"/>
                <w:szCs w:val="24"/>
                <w:lang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bookmarkStart w:id="4" w:name="_GoBack"/>
            <w:bookmarkEnd w:id="4"/>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hint="eastAsia" w:ascii="仿宋_GB2312" w:hAnsi="仿宋_GB2312" w:eastAsia="仿宋_GB2312" w:cs="仿宋_GB2312"/>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我部门</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130.2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48.3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81.9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287.9</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本级支出，主要为</w:t>
      </w:r>
      <w:r>
        <w:rPr>
          <w:rFonts w:hint="eastAsia" w:ascii="仿宋_GB2312" w:hAnsi="仿宋_GB2312" w:eastAsia="仿宋_GB2312" w:cs="仿宋_GB2312"/>
          <w:sz w:val="32"/>
          <w:szCs w:val="32"/>
          <w:lang w:eastAsia="zh-CN"/>
        </w:rPr>
        <w:t>行政中心水、电、暖维修维护；伙食补助；物业服务；行政中心基础设施维修维护</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418.1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98.65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5.38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104.03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办公楼保温及粉刷项目减少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81.9</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主要用于办公区的日常维修、办公用房水电费、办公用房取暖费等日常运行支出。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ind w:left="198" w:firstLine="640" w:firstLineChars="200"/>
        <w:jc w:val="left"/>
        <w:rPr>
          <w:rFonts w:hint="eastAsia" w:ascii="仿宋_GB2312" w:hAnsi="仿宋_GB2312" w:eastAsia="仿宋_GB2312" w:cs="仿宋_GB2312"/>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00" w:lineRule="exact"/>
        <w:ind w:firstLine="560"/>
        <w:rPr>
          <w:rFonts w:ascii="方正仿宋_GBK" w:eastAsia="方正仿宋_GBK"/>
          <w:sz w:val="28"/>
        </w:rPr>
      </w:pPr>
      <w:bookmarkStart w:id="0" w:name="_Toc471398463"/>
      <w:r>
        <w:rPr>
          <w:rFonts w:hint="eastAsia" w:ascii="方正仿宋_GBK" w:eastAsia="方正仿宋_GBK"/>
          <w:sz w:val="28"/>
          <w:lang w:eastAsia="zh-CN"/>
        </w:rPr>
        <w:t>中共河北省大城</w:t>
      </w:r>
      <w:r>
        <w:rPr>
          <w:rFonts w:ascii="方正仿宋_GBK" w:eastAsia="方正仿宋_GBK"/>
          <w:sz w:val="28"/>
        </w:rPr>
        <w:t>县委办机关事务管理组在县委、县政府的正确领导下，紧紧围绕县委、县政府工作的总体部署和目标要求，按照本部门201</w:t>
      </w:r>
      <w:r>
        <w:rPr>
          <w:rFonts w:hint="eastAsia" w:ascii="方正仿宋_GBK" w:eastAsia="方正仿宋_GBK"/>
          <w:sz w:val="28"/>
          <w:lang w:val="en-US" w:eastAsia="zh-CN"/>
        </w:rPr>
        <w:t>9</w:t>
      </w:r>
      <w:r>
        <w:rPr>
          <w:rFonts w:ascii="方正仿宋_GBK" w:eastAsia="方正仿宋_GBK"/>
          <w:sz w:val="28"/>
        </w:rPr>
        <w:t>年工作安排，扎实开展工作，严格落实既定目标任务，全力做好县行政中心的后勤保障服务工作，为机关后勤事业的发展做出了积极的贡献。</w:t>
      </w:r>
    </w:p>
    <w:p>
      <w:pPr>
        <w:spacing w:line="500" w:lineRule="exact"/>
        <w:ind w:firstLine="560"/>
        <w:rPr>
          <w:rFonts w:ascii="方正仿宋_GBK" w:eastAsia="方正仿宋_GBK"/>
          <w:sz w:val="28"/>
        </w:rPr>
      </w:pPr>
      <w:r>
        <w:rPr>
          <w:rFonts w:ascii="方正仿宋_GBK" w:eastAsia="方正仿宋_GBK"/>
          <w:sz w:val="28"/>
        </w:rPr>
        <w:t>全面做好行政中心院内美化、绿化、亮化及水电暖的正常维修检修工作,确保全体干部职工有一个舒适的工作环境。</w:t>
      </w:r>
    </w:p>
    <w:p>
      <w:pPr>
        <w:spacing w:line="584" w:lineRule="exact"/>
        <w:ind w:firstLine="643" w:firstLineChars="200"/>
        <w:jc w:val="left"/>
        <w:rPr>
          <w:rFonts w:ascii="Times New Roman" w:hAnsi="Times New Roman" w:eastAsia="楷体_GB2312" w:cs="Times New Roman"/>
          <w:b/>
          <w:color w:val="FF0000"/>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842"/>
        <w:gridCol w:w="900"/>
        <w:gridCol w:w="810"/>
        <w:gridCol w:w="810"/>
        <w:gridCol w:w="930"/>
        <w:gridCol w:w="1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335"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hint="eastAsia" w:ascii="方正小标宋_GBK" w:hAnsi="Times New Roman" w:eastAsia="方正小标宋_GBK" w:cs="Times New Roman"/>
                <w:sz w:val="18"/>
                <w:szCs w:val="18"/>
                <w:lang w:val="en-US" w:eastAsia="zh-CN"/>
              </w:rPr>
            </w:pPr>
            <w:r>
              <w:rPr>
                <w:rFonts w:hint="eastAsia" w:ascii="方正小标宋_GBK" w:hAnsi="Times New Roman" w:eastAsia="方正小标宋_GBK" w:cs="Times New Roman"/>
                <w:sz w:val="18"/>
                <w:szCs w:val="18"/>
                <w:lang w:val="en-US" w:eastAsia="zh-CN"/>
              </w:rPr>
              <w:t>430中共河北省大城县委办公室机关事务管理组</w:t>
            </w:r>
          </w:p>
        </w:tc>
        <w:tc>
          <w:tcPr>
            <w:tcW w:w="3599"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hAnsi="Times New Roman" w:eastAsia="方正书宋_GBK" w:cs="Times New Roman"/>
                <w:sz w:val="18"/>
                <w:szCs w:val="18"/>
              </w:rPr>
            </w:pPr>
            <w:r>
              <w:rPr>
                <w:rFonts w:hint="eastAsia" w:ascii="方正书宋_GBK" w:hAnsi="Times New Roman" w:eastAsia="方正书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职责活动</w:t>
            </w:r>
          </w:p>
        </w:tc>
        <w:tc>
          <w:tcPr>
            <w:tcW w:w="1276"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年度预算数</w:t>
            </w:r>
          </w:p>
        </w:tc>
        <w:tc>
          <w:tcPr>
            <w:tcW w:w="2976"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内容描述</w:t>
            </w:r>
          </w:p>
        </w:tc>
        <w:tc>
          <w:tcPr>
            <w:tcW w:w="2842"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绩效目标</w:t>
            </w:r>
          </w:p>
        </w:tc>
        <w:tc>
          <w:tcPr>
            <w:tcW w:w="900" w:type="dxa"/>
            <w:vMerge w:val="restart"/>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绩效指标</w:t>
            </w:r>
          </w:p>
        </w:tc>
        <w:tc>
          <w:tcPr>
            <w:tcW w:w="3599" w:type="dxa"/>
            <w:gridSpan w:val="4"/>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1276"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2976"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2842"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900" w:type="dxa"/>
            <w:vMerge w:val="continue"/>
            <w:noWrap w:val="0"/>
            <w:vAlign w:val="center"/>
          </w:tcPr>
          <w:p>
            <w:pPr>
              <w:spacing w:line="300" w:lineRule="exact"/>
              <w:jc w:val="left"/>
              <w:outlineLvl w:val="0"/>
              <w:rPr>
                <w:rFonts w:ascii="Times New Roman" w:hAnsi="Times New Roman" w:eastAsia="宋体" w:cs="Times New Roman"/>
                <w:sz w:val="18"/>
                <w:szCs w:val="18"/>
              </w:rPr>
            </w:pPr>
          </w:p>
        </w:tc>
        <w:tc>
          <w:tcPr>
            <w:tcW w:w="81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优</w:t>
            </w:r>
          </w:p>
        </w:tc>
        <w:tc>
          <w:tcPr>
            <w:tcW w:w="81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良</w:t>
            </w:r>
          </w:p>
        </w:tc>
        <w:tc>
          <w:tcPr>
            <w:tcW w:w="930"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中</w:t>
            </w:r>
          </w:p>
        </w:tc>
        <w:tc>
          <w:tcPr>
            <w:tcW w:w="1049" w:type="dxa"/>
            <w:noWrap w:val="0"/>
            <w:vAlign w:val="center"/>
          </w:tcPr>
          <w:p>
            <w:pPr>
              <w:spacing w:line="300" w:lineRule="exact"/>
              <w:jc w:val="center"/>
              <w:rPr>
                <w:rFonts w:ascii="方正书宋_GBK" w:hAnsi="Times New Roman" w:eastAsia="方正书宋_GBK" w:cs="Times New Roman"/>
                <w:b/>
                <w:sz w:val="18"/>
                <w:szCs w:val="18"/>
              </w:rPr>
            </w:pPr>
            <w:r>
              <w:rPr>
                <w:rFonts w:hint="eastAsia" w:ascii="方正书宋_GBK" w:hAnsi="Times New Roman" w:eastAsia="方正书宋_GBK" w:cs="Times New Roman"/>
                <w:b/>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ascii="方正书宋_GBK" w:eastAsia="方正书宋_GBK"/>
                <w:b/>
              </w:rPr>
            </w:pPr>
            <w:r>
              <w:rPr>
                <w:rFonts w:hint="eastAsia" w:ascii="方正书宋_GBK" w:eastAsia="方正书宋_GBK"/>
                <w:b/>
              </w:rPr>
              <w:t>　　县直房地产管理、资产、节能管理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842" w:type="dxa"/>
            <w:vMerge w:val="restart"/>
            <w:noWrap w:val="0"/>
            <w:vAlign w:val="center"/>
          </w:tcPr>
          <w:p>
            <w:pPr>
              <w:spacing w:line="300" w:lineRule="exact"/>
              <w:jc w:val="left"/>
              <w:rPr>
                <w:rFonts w:ascii="方正书宋_GBK" w:eastAsia="方正书宋_GBK"/>
              </w:rPr>
            </w:pPr>
            <w:r>
              <w:rPr>
                <w:rFonts w:hint="eastAsia" w:ascii="方正书宋_GBK" w:eastAsia="方正书宋_GBK"/>
              </w:rPr>
              <w:t>规范管理，合理使用，保障房屋安全；确保各种设施、设备运转正常。为县直广大干部职工提供优质、高效服务。深入推进全县公共机构节能工作，对既有建筑制定节能改造计划。</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公车统计报告率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公共机构节能推进率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办公用房修缮改造完成率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绿化、亮化保障率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0" w:hRule="atLeast"/>
          <w:jc w:val="center"/>
        </w:trPr>
        <w:tc>
          <w:tcPr>
            <w:tcW w:w="2341" w:type="dxa"/>
            <w:vMerge w:val="continue"/>
            <w:noWrap w:val="0"/>
            <w:vAlign w:val="center"/>
          </w:tcPr>
          <w:p>
            <w:pPr>
              <w:spacing w:line="300" w:lineRule="exact"/>
              <w:jc w:val="left"/>
              <w:rPr>
                <w:rFonts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ascii="方正书宋_GBK" w:eastAsia="方正书宋_GBK"/>
              </w:rPr>
            </w:pPr>
          </w:p>
        </w:tc>
        <w:tc>
          <w:tcPr>
            <w:tcW w:w="2842" w:type="dxa"/>
            <w:vMerge w:val="continue"/>
            <w:noWrap w:val="0"/>
            <w:vAlign w:val="center"/>
          </w:tcPr>
          <w:p>
            <w:pPr>
              <w:spacing w:line="300" w:lineRule="exact"/>
              <w:jc w:val="left"/>
              <w:rPr>
                <w:rFonts w:ascii="方正书宋_GBK" w:eastAsia="方正书宋_GBK"/>
              </w:rPr>
            </w:pP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集中供热改造完成率</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81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93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1049"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综合服务保障</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水、电、暖保障；对保安人员加强管理，加强对理发室人员、机关食堂及食堂工作人员的管理，加强对县级领导生活服务</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保障机关后勤工作，保障正常工作秩序，保障搞好各种服务保障</w:t>
            </w:r>
            <w:r>
              <w:rPr>
                <w:rFonts w:ascii="方正书宋_GBK" w:eastAsia="方正书宋_GBK"/>
              </w:rPr>
              <w:t>,</w:t>
            </w:r>
            <w:r>
              <w:rPr>
                <w:rFonts w:hint="eastAsia" w:ascii="方正书宋_GBK" w:eastAsia="方正书宋_GBK"/>
              </w:rPr>
              <w:t>服务周到。</w:t>
            </w:r>
          </w:p>
        </w:tc>
        <w:tc>
          <w:tcPr>
            <w:tcW w:w="900" w:type="dxa"/>
            <w:noWrap w:val="0"/>
            <w:vAlign w:val="center"/>
          </w:tcPr>
          <w:p>
            <w:pPr>
              <w:spacing w:line="300" w:lineRule="exact"/>
              <w:jc w:val="left"/>
              <w:rPr>
                <w:rFonts w:ascii="方正书宋_GBK" w:eastAsia="方正书宋_GBK"/>
              </w:rPr>
            </w:pPr>
          </w:p>
        </w:tc>
        <w:tc>
          <w:tcPr>
            <w:tcW w:w="810" w:type="dxa"/>
            <w:noWrap w:val="0"/>
            <w:vAlign w:val="center"/>
          </w:tcPr>
          <w:p>
            <w:pPr>
              <w:spacing w:line="300" w:lineRule="exact"/>
              <w:jc w:val="center"/>
              <w:rPr>
                <w:rFonts w:ascii="方正书宋_GBK" w:eastAsia="方正书宋_GBK"/>
              </w:rPr>
            </w:pPr>
          </w:p>
        </w:tc>
        <w:tc>
          <w:tcPr>
            <w:tcW w:w="810" w:type="dxa"/>
            <w:noWrap w:val="0"/>
            <w:vAlign w:val="center"/>
          </w:tcPr>
          <w:p>
            <w:pPr>
              <w:spacing w:line="300" w:lineRule="exact"/>
              <w:jc w:val="center"/>
              <w:rPr>
                <w:rFonts w:ascii="方正书宋_GBK" w:eastAsia="方正书宋_GBK"/>
              </w:rPr>
            </w:pPr>
          </w:p>
        </w:tc>
        <w:tc>
          <w:tcPr>
            <w:tcW w:w="930" w:type="dxa"/>
            <w:noWrap w:val="0"/>
            <w:vAlign w:val="center"/>
          </w:tcPr>
          <w:p>
            <w:pPr>
              <w:spacing w:line="300" w:lineRule="exact"/>
              <w:jc w:val="center"/>
              <w:rPr>
                <w:rFonts w:ascii="方正书宋_GBK" w:eastAsia="方正书宋_GBK"/>
              </w:rPr>
            </w:pPr>
          </w:p>
        </w:tc>
        <w:tc>
          <w:tcPr>
            <w:tcW w:w="1049"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县级领导生活服务管理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县级领导同志、已退出领导岗位的县级领导同志及有关服务对象的生活服务管理。</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提高理发室工作人员及食堂工作人员素质，进一步提高生活服务管理水平，让领导满意。</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领导满意率</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85%</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政务管理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承担系统综合业务管理和部门综合事务管理。</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促进全县机关事务管理工作科学发展。</w:t>
            </w:r>
          </w:p>
        </w:tc>
        <w:tc>
          <w:tcPr>
            <w:tcW w:w="900" w:type="dxa"/>
            <w:noWrap w:val="0"/>
            <w:vAlign w:val="center"/>
          </w:tcPr>
          <w:p>
            <w:pPr>
              <w:spacing w:line="300" w:lineRule="exact"/>
              <w:jc w:val="left"/>
              <w:rPr>
                <w:rFonts w:ascii="方正书宋_GBK" w:eastAsia="方正书宋_GBK"/>
              </w:rPr>
            </w:pPr>
          </w:p>
        </w:tc>
        <w:tc>
          <w:tcPr>
            <w:tcW w:w="810" w:type="dxa"/>
            <w:noWrap w:val="0"/>
            <w:vAlign w:val="center"/>
          </w:tcPr>
          <w:p>
            <w:pPr>
              <w:spacing w:line="300" w:lineRule="exact"/>
              <w:jc w:val="center"/>
              <w:rPr>
                <w:rFonts w:ascii="方正书宋_GBK" w:eastAsia="方正书宋_GBK"/>
                <w:sz w:val="18"/>
                <w:szCs w:val="18"/>
              </w:rPr>
            </w:pPr>
          </w:p>
        </w:tc>
        <w:tc>
          <w:tcPr>
            <w:tcW w:w="810" w:type="dxa"/>
            <w:noWrap w:val="0"/>
            <w:vAlign w:val="center"/>
          </w:tcPr>
          <w:p>
            <w:pPr>
              <w:spacing w:line="300" w:lineRule="exact"/>
              <w:jc w:val="center"/>
              <w:rPr>
                <w:rFonts w:ascii="方正书宋_GBK" w:eastAsia="方正书宋_GBK"/>
                <w:sz w:val="18"/>
                <w:szCs w:val="18"/>
              </w:rPr>
            </w:pPr>
          </w:p>
        </w:tc>
        <w:tc>
          <w:tcPr>
            <w:tcW w:w="930" w:type="dxa"/>
            <w:noWrap w:val="0"/>
            <w:vAlign w:val="center"/>
          </w:tcPr>
          <w:p>
            <w:pPr>
              <w:spacing w:line="300" w:lineRule="exact"/>
              <w:jc w:val="center"/>
              <w:rPr>
                <w:rFonts w:ascii="方正书宋_GBK" w:eastAsia="方正书宋_GBK"/>
                <w:sz w:val="18"/>
                <w:szCs w:val="18"/>
              </w:rPr>
            </w:pPr>
          </w:p>
        </w:tc>
        <w:tc>
          <w:tcPr>
            <w:tcW w:w="1049" w:type="dxa"/>
            <w:noWrap w:val="0"/>
            <w:vAlign w:val="center"/>
          </w:tcPr>
          <w:p>
            <w:pPr>
              <w:spacing w:line="300" w:lineRule="exact"/>
              <w:jc w:val="center"/>
              <w:rPr>
                <w:rFonts w:ascii="方正书宋_GBK" w:eastAsia="方正书宋_GBK"/>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指导全县机关后勤工作；开展全县机关事务工作人员业务培训；按规定对县直机关事业单位工人岗位技术等级考核；指导、协调县直机关事业单位绿化、爱国卫生、交通安全、环境综合整治等社会事务。</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推进全县机关事务管理工作科学发展；提高管理、保障、服务水平；协调推进改革进程，理顺全县机关事务管理工作体制。</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810" w:type="dxa"/>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noWrap w:val="0"/>
            <w:vAlign w:val="center"/>
          </w:tcPr>
          <w:p>
            <w:pPr>
              <w:spacing w:line="300" w:lineRule="exact"/>
              <w:jc w:val="left"/>
              <w:rPr>
                <w:rFonts w:ascii="方正书宋_GBK" w:eastAsia="方正书宋_GBK"/>
                <w:lang w:val="en-US"/>
              </w:rPr>
            </w:pPr>
            <w:r>
              <w:rPr>
                <w:rFonts w:hint="eastAsia" w:ascii="仿宋_GB2312" w:hAnsi="仿宋_GB2312" w:eastAsia="仿宋_GB2312" w:cs="仿宋_GB2312"/>
                <w:sz w:val="21"/>
                <w:szCs w:val="21"/>
                <w:lang w:val="en-US" w:eastAsia="zh-CN"/>
              </w:rPr>
              <w:t>418.1</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管理局机关网络建设、运转维护和电子政务；机关标准化建设、保密、档案以及政务接待、会务。办公楼物业管理和机关食堂管理；机关办公楼修缮、供水、供电、供暖以及机关环境绿化美化、卫生保洁、安全保卫。</w:t>
            </w:r>
          </w:p>
        </w:tc>
        <w:tc>
          <w:tcPr>
            <w:tcW w:w="2842" w:type="dxa"/>
            <w:noWrap w:val="0"/>
            <w:vAlign w:val="center"/>
          </w:tcPr>
          <w:p>
            <w:pPr>
              <w:spacing w:line="300" w:lineRule="exact"/>
              <w:jc w:val="left"/>
              <w:rPr>
                <w:rFonts w:ascii="方正书宋_GBK" w:eastAsia="方正书宋_GBK"/>
              </w:rPr>
            </w:pPr>
            <w:r>
              <w:rPr>
                <w:rFonts w:hint="eastAsia" w:ascii="方正书宋_GBK" w:eastAsia="方正书宋_GBK"/>
              </w:rPr>
              <w:t>提高人员素质；推进县直机关事业单位办公环境改善。搞好服务保障，为广大干部职工提供安全、快捷、细致、周到的工作环境；加强财务管理，确保资金安全，提高财政资金使用效益。</w:t>
            </w:r>
          </w:p>
        </w:tc>
        <w:tc>
          <w:tcPr>
            <w:tcW w:w="900" w:type="dxa"/>
            <w:noWrap w:val="0"/>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810" w:type="dxa"/>
            <w:noWrap w:val="0"/>
            <w:vAlign w:val="center"/>
          </w:tcPr>
          <w:p>
            <w:pPr>
              <w:spacing w:line="300" w:lineRule="exact"/>
              <w:jc w:val="center"/>
              <w:rPr>
                <w:rFonts w:ascii="方正书宋_GBK" w:eastAsia="方正书宋_GBK"/>
                <w:sz w:val="18"/>
                <w:szCs w:val="18"/>
              </w:rPr>
            </w:pPr>
            <w:r>
              <w:rPr>
                <w:rFonts w:ascii="方正书宋_GBK" w:eastAsia="方正书宋_GBK"/>
                <w:sz w:val="18"/>
                <w:szCs w:val="18"/>
              </w:rPr>
              <w:t>100%</w:t>
            </w:r>
          </w:p>
        </w:tc>
        <w:tc>
          <w:tcPr>
            <w:tcW w:w="81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95%</w:t>
            </w:r>
          </w:p>
        </w:tc>
        <w:tc>
          <w:tcPr>
            <w:tcW w:w="930"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c>
          <w:tcPr>
            <w:tcW w:w="1049" w:type="dxa"/>
            <w:noWrap w:val="0"/>
            <w:vAlign w:val="center"/>
          </w:tcPr>
          <w:p>
            <w:pPr>
              <w:spacing w:line="300" w:lineRule="exact"/>
              <w:jc w:val="center"/>
              <w:rPr>
                <w:rFonts w:ascii="方正书宋_GBK" w:eastAsia="方正书宋_GBK"/>
                <w:sz w:val="18"/>
                <w:szCs w:val="18"/>
              </w:rPr>
            </w:pPr>
            <w:r>
              <w:rPr>
                <w:rFonts w:hint="eastAsia" w:ascii="方正书宋_GBK" w:eastAsia="方正书宋_GBK"/>
                <w:sz w:val="18"/>
                <w:szCs w:val="18"/>
              </w:rPr>
              <w:t>＜</w:t>
            </w:r>
            <w:r>
              <w:rPr>
                <w:rFonts w:ascii="方正书宋_GBK" w:eastAsia="方正书宋_GBK"/>
                <w:sz w:val="18"/>
                <w:szCs w:val="18"/>
              </w:rPr>
              <w:t>90%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757" w:right="1440" w:bottom="1701" w:left="1440"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w:t>
      </w:r>
      <w:r>
        <w:rPr>
          <w:rFonts w:ascii="仿宋_GB2312" w:hAnsi="黑体" w:eastAsia="仿宋_GB2312" w:cs="Times New Roman"/>
          <w:color w:val="000000"/>
          <w:sz w:val="32"/>
          <w:szCs w:val="32"/>
        </w:rPr>
        <w:t>我部门无</w:t>
      </w:r>
      <w:r>
        <w:rPr>
          <w:rFonts w:hint="eastAsia" w:ascii="仿宋_GB2312" w:hAnsi="黑体" w:eastAsia="仿宋_GB2312" w:cs="Times New Roman"/>
          <w:color w:val="000000"/>
          <w:sz w:val="32"/>
          <w:szCs w:val="32"/>
        </w:rPr>
        <w:t>政府采购预算。</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Times New Roman" w:hAnsi="Times New Roman" w:eastAsia="仿宋_GB2312" w:cs="Times New Roman"/>
                <w:sz w:val="24"/>
              </w:rPr>
            </w:pPr>
            <w:r>
              <w:rPr>
                <w:rFonts w:hint="eastAsia" w:ascii="方正小标宋_GBK" w:hAnsi="Times New Roman" w:eastAsia="方正小标宋_GBK" w:cs="Times New Roman"/>
                <w:sz w:val="24"/>
                <w:szCs w:val="24"/>
                <w:lang w:val="en-US" w:eastAsia="zh-CN"/>
              </w:rPr>
              <w:t>430中共河北省大城县委办公室机关事务管理组</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ascii="Times New Roman" w:hAnsi="Times New Roman" w:eastAsia="仿宋_GB2312" w:cs="Times New Roman"/>
              </w:rPr>
            </w:pPr>
          </w:p>
        </w:tc>
        <w:tc>
          <w:tcPr>
            <w:tcW w:w="932" w:type="dxa"/>
            <w:shd w:val="clear" w:color="auto" w:fill="auto"/>
            <w:vAlign w:val="center"/>
          </w:tcPr>
          <w:p>
            <w:pPr>
              <w:spacing w:line="584" w:lineRule="exact"/>
              <w:jc w:val="left"/>
              <w:rPr>
                <w:rFonts w:ascii="Times New Roman" w:hAnsi="Times New Roman" w:eastAsia="仿宋_GB2312" w:cs="Times New Roman"/>
              </w:rPr>
            </w:pPr>
          </w:p>
        </w:tc>
        <w:tc>
          <w:tcPr>
            <w:tcW w:w="1372" w:type="dxa"/>
            <w:shd w:val="clear" w:color="auto" w:fill="auto"/>
            <w:vAlign w:val="center"/>
          </w:tcPr>
          <w:p>
            <w:pPr>
              <w:spacing w:line="584" w:lineRule="exact"/>
              <w:jc w:val="left"/>
              <w:rPr>
                <w:rFonts w:ascii="Times New Roman" w:hAnsi="Times New Roman" w:eastAsia="仿宋_GB2312" w:cs="Times New Roman"/>
              </w:rPr>
            </w:pPr>
          </w:p>
        </w:tc>
        <w:tc>
          <w:tcPr>
            <w:tcW w:w="720" w:type="dxa"/>
            <w:shd w:val="clear" w:color="auto" w:fill="auto"/>
            <w:vAlign w:val="center"/>
          </w:tcPr>
          <w:p>
            <w:pPr>
              <w:spacing w:line="584" w:lineRule="exact"/>
              <w:jc w:val="left"/>
              <w:rPr>
                <w:rFonts w:ascii="Times New Roman" w:hAnsi="Times New Roman" w:eastAsia="仿宋_GB2312" w:cs="Times New Roman"/>
              </w:rPr>
            </w:pPr>
          </w:p>
        </w:tc>
        <w:tc>
          <w:tcPr>
            <w:tcW w:w="740" w:type="dxa"/>
            <w:shd w:val="clear" w:color="auto" w:fill="auto"/>
            <w:vAlign w:val="center"/>
          </w:tcPr>
          <w:p>
            <w:pPr>
              <w:spacing w:line="584" w:lineRule="exact"/>
              <w:jc w:val="right"/>
              <w:rPr>
                <w:rFonts w:ascii="Times New Roman" w:hAnsi="Times New Roman" w:eastAsia="仿宋_GB2312" w:cs="Times New Roman"/>
              </w:rPr>
            </w:pPr>
          </w:p>
        </w:tc>
        <w:tc>
          <w:tcPr>
            <w:tcW w:w="950"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956" w:type="dxa"/>
            <w:shd w:val="clear" w:color="auto" w:fill="auto"/>
            <w:vAlign w:val="center"/>
          </w:tcPr>
          <w:p>
            <w:pPr>
              <w:spacing w:line="584" w:lineRule="exact"/>
              <w:jc w:val="right"/>
              <w:rPr>
                <w:rFonts w:ascii="Times New Roman" w:hAnsi="Times New Roman" w:eastAsia="仿宋_GB2312" w:cs="Times New Roma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lang w:eastAsia="zh-CN"/>
        </w:rPr>
        <w:t>中共河北省大城县委办公室机关事务管理组</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51.4849</w:t>
      </w:r>
      <w:r>
        <w:rPr>
          <w:rFonts w:hint="eastAsia" w:ascii="仿宋_GB2312" w:hAnsi="黑体" w:eastAsia="仿宋_GB2312" w:cs="Times New Roman"/>
          <w:sz w:val="32"/>
          <w:szCs w:val="32"/>
        </w:rPr>
        <w:t>万元，</w:t>
      </w:r>
      <w:r>
        <w:rPr>
          <w:rFonts w:hint="eastAsia" w:ascii="仿宋_GB2312" w:hAnsi="黑体" w:eastAsia="仿宋_GB2312" w:cs="Times New Roman"/>
          <w:sz w:val="32"/>
          <w:szCs w:val="32"/>
          <w:lang w:val="en-US" w:eastAsia="zh-CN"/>
        </w:rPr>
        <w:t>2019年我部门无新增固定资产计划。</w:t>
      </w:r>
      <w:r>
        <w:rPr>
          <w:rFonts w:hint="eastAsia" w:ascii="仿宋_GB2312" w:hAnsi="黑体"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宋体" w:hAnsi="宋体" w:cs="宋体"/>
                <w:b/>
                <w:bCs/>
                <w:kern w:val="0"/>
                <w:sz w:val="32"/>
                <w:szCs w:val="32"/>
                <w:lang w:eastAsia="zh-CN"/>
              </w:rPr>
              <w:t>中共河北省大城县委办公室机关事务管理组</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 w:val="22"/>
              </w:rPr>
            </w:pPr>
            <w:r>
              <w:rPr>
                <w:rFonts w:hint="eastAsia" w:ascii="宋体" w:hAnsi="宋体" w:eastAsia="宋体" w:cs="宋体"/>
                <w:kern w:val="0"/>
                <w:sz w:val="22"/>
              </w:rPr>
              <w:t>编制部门：</w:t>
            </w:r>
            <w:r>
              <w:rPr>
                <w:rFonts w:hint="eastAsia" w:ascii="宋体" w:hAnsi="宋体" w:cs="宋体"/>
                <w:kern w:val="0"/>
                <w:sz w:val="22"/>
                <w:lang w:eastAsia="zh-CN"/>
              </w:rPr>
              <w:t>中共河北省大城县委办公室机关事务管理组</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51.4849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11B8178A"/>
    <w:rsid w:val="21AA4A7C"/>
    <w:rsid w:val="37E81C26"/>
    <w:rsid w:val="3E401242"/>
    <w:rsid w:val="41994C6D"/>
    <w:rsid w:val="4F711802"/>
    <w:rsid w:val="6E7E1DDA"/>
    <w:rsid w:val="7A8B2A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footnote reference"/>
    <w:unhideWhenUsed/>
    <w:qFormat/>
    <w:uiPriority w:val="99"/>
    <w:rPr>
      <w:vertAlign w:val="superscript"/>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0</TotalTime>
  <ScaleCrop>false</ScaleCrop>
  <LinksUpToDate>false</LinksUpToDate>
  <CharactersWithSpaces>2835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2019-02-28T09:10:49Z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