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B5" w:rsidRDefault="000C0B5A">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大城红木文化产业园管理办公室</w:t>
      </w:r>
      <w:r w:rsidR="001649B7">
        <w:rPr>
          <w:rFonts w:ascii="Times New Roman" w:eastAsia="方正小标宋简体" w:hAnsi="Times New Roman" w:cs="Times New Roman"/>
          <w:sz w:val="44"/>
          <w:szCs w:val="44"/>
        </w:rPr>
        <w:t>2019</w:t>
      </w:r>
      <w:r w:rsidR="001649B7">
        <w:rPr>
          <w:rFonts w:ascii="Times New Roman" w:eastAsia="方正小标宋简体" w:hAnsi="Times New Roman" w:cs="Times New Roman"/>
          <w:sz w:val="44"/>
          <w:szCs w:val="44"/>
        </w:rPr>
        <w:t>年部门预算信息公开</w:t>
      </w:r>
      <w:r w:rsidR="001649B7">
        <w:rPr>
          <w:rFonts w:ascii="Times New Roman" w:eastAsia="方正小标宋简体" w:hAnsi="Times New Roman" w:cs="Times New Roman" w:hint="eastAsia"/>
          <w:sz w:val="44"/>
          <w:szCs w:val="44"/>
        </w:rPr>
        <w:t>情况说明</w:t>
      </w:r>
    </w:p>
    <w:p w:rsidR="00CA2BB5" w:rsidRDefault="00CA2BB5">
      <w:pPr>
        <w:spacing w:line="584" w:lineRule="exact"/>
        <w:ind w:firstLineChars="200" w:firstLine="880"/>
        <w:jc w:val="center"/>
        <w:rPr>
          <w:rFonts w:ascii="Times New Roman" w:eastAsia="仿宋_GB2312" w:hAnsi="Times New Roman" w:cs="Times New Roman"/>
          <w:sz w:val="44"/>
          <w:szCs w:val="44"/>
        </w:rPr>
      </w:pPr>
    </w:p>
    <w:p w:rsidR="00CA2BB5" w:rsidRDefault="001649B7">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按照《预算法》、《地方预决算公开操作规程》和《河北省省级预算公开办法》规定，现将</w:t>
      </w:r>
      <w:r w:rsidR="00FE5B5D">
        <w:rPr>
          <w:rFonts w:ascii="Times New Roman" w:eastAsia="仿宋_GB2312" w:hAnsi="Times New Roman" w:cs="Times New Roman" w:hint="eastAsia"/>
          <w:sz w:val="32"/>
          <w:szCs w:val="32"/>
        </w:rPr>
        <w:t>大城红木文化产业园管理办公室</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年部门预算公开如下：</w:t>
      </w:r>
    </w:p>
    <w:p w:rsidR="00CA2BB5" w:rsidRDefault="001649B7">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一、部门职责及机构设置情况</w:t>
      </w:r>
    </w:p>
    <w:p w:rsidR="00CA2BB5" w:rsidRDefault="001649B7">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1F5631" w:rsidRDefault="001F5631" w:rsidP="001F563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（1）贯彻落实国家有关法律、法规和政策，执行上级有关决定；研究制定大城县红木文化产业发展中长期规划、年度计划；研究制定促进红木文化产业发展的政策措施并组织实施。</w:t>
      </w:r>
    </w:p>
    <w:p w:rsidR="001F5631" w:rsidRDefault="001F5631" w:rsidP="001F563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（2）负责红木文化产业园市政设施和公益设施的规划、建设、管理和维护工作，完善园区功能。</w:t>
      </w:r>
    </w:p>
    <w:p w:rsidR="001F5631" w:rsidRDefault="001F5631" w:rsidP="001F563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（3）配合</w:t>
      </w:r>
      <w:proofErr w:type="gramStart"/>
      <w:r>
        <w:rPr>
          <w:rFonts w:ascii="仿宋_GB2312" w:eastAsia="仿宋_GB2312" w:hAnsi="仿宋_GB2312" w:cs="仿宋_GB2312" w:hint="eastAsia"/>
          <w:sz w:val="32"/>
          <w:szCs w:val="32"/>
        </w:rPr>
        <w:t>旅游办</w:t>
      </w:r>
      <w:proofErr w:type="gramEnd"/>
      <w:r>
        <w:rPr>
          <w:rFonts w:ascii="仿宋_GB2312" w:eastAsia="仿宋_GB2312" w:hAnsi="仿宋_GB2312" w:cs="仿宋_GB2312" w:hint="eastAsia"/>
          <w:sz w:val="32"/>
          <w:szCs w:val="32"/>
        </w:rPr>
        <w:t>及相关单位，结合大城县人文历史、生态旅游和产业优势实际，谋划大城县红木文化旅游中长期发展规划，打造大城红木文化旅游产业；负责红木文化产业园旅游配套设施、景区申报、景区宣传推介等工作，完善红木文化产业园旅游区功能建设。</w:t>
      </w:r>
    </w:p>
    <w:p w:rsidR="001F5631" w:rsidRDefault="001F5631" w:rsidP="001F563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（4）协调南</w:t>
      </w:r>
      <w:proofErr w:type="gramStart"/>
      <w:r>
        <w:rPr>
          <w:rFonts w:ascii="仿宋_GB2312" w:eastAsia="仿宋_GB2312" w:hAnsi="仿宋_GB2312" w:cs="仿宋_GB2312" w:hint="eastAsia"/>
          <w:sz w:val="32"/>
          <w:szCs w:val="32"/>
        </w:rPr>
        <w:t>赵扶镇</w:t>
      </w:r>
      <w:proofErr w:type="gramEnd"/>
      <w:r>
        <w:rPr>
          <w:rFonts w:ascii="仿宋_GB2312" w:eastAsia="仿宋_GB2312" w:hAnsi="仿宋_GB2312" w:cs="仿宋_GB2312" w:hint="eastAsia"/>
          <w:sz w:val="32"/>
          <w:szCs w:val="32"/>
        </w:rPr>
        <w:t>、平舒镇及相关单位，做好红木文化产业发展规划区域内规划占地、基础建设、环境治理等工作。</w:t>
      </w:r>
    </w:p>
    <w:p w:rsidR="001F5631" w:rsidRDefault="001F5631" w:rsidP="001F563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（5）负责红木文化产业园项目招商和对外宣传推介，建设和维护红木文化产业园网站，搭建电子商务平台。</w:t>
      </w:r>
    </w:p>
    <w:p w:rsidR="001F5631" w:rsidRDefault="001F5631" w:rsidP="001F563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（6）负责协调园区内上级有关部门派驻机构的工作。</w:t>
      </w:r>
    </w:p>
    <w:p w:rsidR="001F5631" w:rsidRDefault="001F5631" w:rsidP="001F563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（7）承担县政府交办的其它工作任务。</w:t>
      </w:r>
    </w:p>
    <w:p w:rsidR="00CA2BB5" w:rsidRDefault="001649B7">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CA2BB5" w:rsidRDefault="001649B7">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CA2BB5">
        <w:trPr>
          <w:trHeight w:val="584"/>
          <w:tblHeader/>
          <w:jc w:val="center"/>
        </w:trPr>
        <w:tc>
          <w:tcPr>
            <w:tcW w:w="4443" w:type="dxa"/>
            <w:vMerge w:val="restart"/>
            <w:shd w:val="clear" w:color="auto" w:fill="auto"/>
            <w:vAlign w:val="center"/>
          </w:tcPr>
          <w:p w:rsidR="00CA2BB5" w:rsidRDefault="001649B7">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CA2BB5" w:rsidRDefault="001649B7">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CA2BB5" w:rsidRDefault="001649B7">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CA2BB5" w:rsidRDefault="001649B7">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CA2BB5">
        <w:trPr>
          <w:trHeight w:val="584"/>
          <w:tblHeader/>
          <w:jc w:val="center"/>
        </w:trPr>
        <w:tc>
          <w:tcPr>
            <w:tcW w:w="4443" w:type="dxa"/>
            <w:vMerge/>
            <w:shd w:val="clear" w:color="auto" w:fill="auto"/>
            <w:vAlign w:val="center"/>
          </w:tcPr>
          <w:p w:rsidR="00CA2BB5" w:rsidRDefault="00CA2BB5">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CA2BB5" w:rsidRDefault="00CA2BB5">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CA2BB5" w:rsidRDefault="00CA2BB5">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CA2BB5" w:rsidRDefault="00CA2BB5">
            <w:pPr>
              <w:spacing w:line="584" w:lineRule="exact"/>
              <w:jc w:val="left"/>
              <w:outlineLvl w:val="0"/>
              <w:rPr>
                <w:rFonts w:ascii="Times New Roman" w:eastAsia="仿宋_GB2312" w:hAnsi="Times New Roman" w:cs="Times New Roman"/>
                <w:szCs w:val="24"/>
              </w:rPr>
            </w:pPr>
          </w:p>
        </w:tc>
      </w:tr>
      <w:tr w:rsidR="00CA2BB5">
        <w:trPr>
          <w:trHeight w:val="227"/>
          <w:jc w:val="center"/>
        </w:trPr>
        <w:tc>
          <w:tcPr>
            <w:tcW w:w="4443" w:type="dxa"/>
            <w:shd w:val="clear" w:color="auto" w:fill="auto"/>
            <w:vAlign w:val="center"/>
          </w:tcPr>
          <w:p w:rsidR="00CA2BB5" w:rsidRDefault="00BB21A8">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大城红木文化产业园管理办公室</w:t>
            </w:r>
          </w:p>
        </w:tc>
        <w:tc>
          <w:tcPr>
            <w:tcW w:w="1134" w:type="dxa"/>
            <w:shd w:val="clear" w:color="auto" w:fill="auto"/>
            <w:vAlign w:val="center"/>
          </w:tcPr>
          <w:p w:rsidR="00CA2BB5" w:rsidRDefault="00BB21A8">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事业单位</w:t>
            </w:r>
          </w:p>
        </w:tc>
        <w:tc>
          <w:tcPr>
            <w:tcW w:w="1276" w:type="dxa"/>
            <w:shd w:val="clear" w:color="auto" w:fill="auto"/>
            <w:vAlign w:val="center"/>
          </w:tcPr>
          <w:p w:rsidR="00CA2BB5" w:rsidRDefault="00BB21A8">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rsidR="00CA2BB5" w:rsidRDefault="00BB21A8">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财政性资金基本保证</w:t>
            </w:r>
          </w:p>
        </w:tc>
      </w:tr>
      <w:tr w:rsidR="00CA2BB5">
        <w:trPr>
          <w:trHeight w:val="227"/>
          <w:jc w:val="center"/>
        </w:trPr>
        <w:tc>
          <w:tcPr>
            <w:tcW w:w="4443" w:type="dxa"/>
            <w:shd w:val="clear" w:color="auto" w:fill="auto"/>
            <w:vAlign w:val="center"/>
          </w:tcPr>
          <w:p w:rsidR="00CA2BB5" w:rsidRDefault="00CA2BB5">
            <w:pPr>
              <w:spacing w:line="584" w:lineRule="exact"/>
              <w:jc w:val="left"/>
              <w:rPr>
                <w:rFonts w:ascii="Times New Roman" w:eastAsia="仿宋_GB2312" w:hAnsi="Times New Roman" w:cs="Times New Roman"/>
              </w:rPr>
            </w:pPr>
          </w:p>
        </w:tc>
        <w:tc>
          <w:tcPr>
            <w:tcW w:w="1134" w:type="dxa"/>
            <w:shd w:val="clear" w:color="auto" w:fill="auto"/>
            <w:vAlign w:val="center"/>
          </w:tcPr>
          <w:p w:rsidR="00CA2BB5" w:rsidRDefault="00CA2BB5">
            <w:pPr>
              <w:spacing w:line="584" w:lineRule="exact"/>
              <w:jc w:val="center"/>
              <w:rPr>
                <w:rFonts w:ascii="Times New Roman" w:eastAsia="仿宋_GB2312" w:hAnsi="Times New Roman" w:cs="Times New Roman"/>
              </w:rPr>
            </w:pPr>
          </w:p>
        </w:tc>
        <w:tc>
          <w:tcPr>
            <w:tcW w:w="1276" w:type="dxa"/>
            <w:shd w:val="clear" w:color="auto" w:fill="auto"/>
            <w:vAlign w:val="center"/>
          </w:tcPr>
          <w:p w:rsidR="00CA2BB5" w:rsidRDefault="00CA2BB5">
            <w:pPr>
              <w:spacing w:line="584" w:lineRule="exact"/>
              <w:jc w:val="center"/>
              <w:rPr>
                <w:rFonts w:ascii="Times New Roman" w:eastAsia="仿宋_GB2312" w:hAnsi="Times New Roman" w:cs="Times New Roman"/>
              </w:rPr>
            </w:pPr>
          </w:p>
        </w:tc>
        <w:tc>
          <w:tcPr>
            <w:tcW w:w="2902" w:type="dxa"/>
            <w:shd w:val="clear" w:color="auto" w:fill="auto"/>
            <w:vAlign w:val="center"/>
          </w:tcPr>
          <w:p w:rsidR="00CA2BB5" w:rsidRDefault="00CA2BB5">
            <w:pPr>
              <w:spacing w:line="584" w:lineRule="exact"/>
              <w:jc w:val="center"/>
              <w:rPr>
                <w:rFonts w:ascii="Times New Roman" w:eastAsia="仿宋_GB2312" w:hAnsi="Times New Roman" w:cs="Times New Roman"/>
              </w:rPr>
            </w:pPr>
          </w:p>
        </w:tc>
      </w:tr>
      <w:tr w:rsidR="00CA2BB5">
        <w:trPr>
          <w:trHeight w:val="227"/>
          <w:jc w:val="center"/>
        </w:trPr>
        <w:tc>
          <w:tcPr>
            <w:tcW w:w="4443" w:type="dxa"/>
            <w:shd w:val="clear" w:color="auto" w:fill="auto"/>
            <w:vAlign w:val="center"/>
          </w:tcPr>
          <w:p w:rsidR="00CA2BB5" w:rsidRDefault="00CA2BB5">
            <w:pPr>
              <w:spacing w:line="584" w:lineRule="exact"/>
              <w:jc w:val="left"/>
              <w:rPr>
                <w:rFonts w:ascii="Times New Roman" w:eastAsia="仿宋_GB2312" w:hAnsi="Times New Roman" w:cs="Times New Roman"/>
              </w:rPr>
            </w:pPr>
          </w:p>
        </w:tc>
        <w:tc>
          <w:tcPr>
            <w:tcW w:w="1134" w:type="dxa"/>
            <w:shd w:val="clear" w:color="auto" w:fill="auto"/>
            <w:vAlign w:val="center"/>
          </w:tcPr>
          <w:p w:rsidR="00CA2BB5" w:rsidRDefault="00CA2BB5">
            <w:pPr>
              <w:spacing w:line="584" w:lineRule="exact"/>
              <w:jc w:val="center"/>
              <w:rPr>
                <w:rFonts w:ascii="Times New Roman" w:eastAsia="仿宋_GB2312" w:hAnsi="Times New Roman" w:cs="Times New Roman"/>
              </w:rPr>
            </w:pPr>
          </w:p>
        </w:tc>
        <w:tc>
          <w:tcPr>
            <w:tcW w:w="1276" w:type="dxa"/>
            <w:shd w:val="clear" w:color="auto" w:fill="auto"/>
            <w:vAlign w:val="center"/>
          </w:tcPr>
          <w:p w:rsidR="00CA2BB5" w:rsidRDefault="00CA2BB5">
            <w:pPr>
              <w:spacing w:line="584" w:lineRule="exact"/>
              <w:jc w:val="center"/>
              <w:rPr>
                <w:rFonts w:ascii="Times New Roman" w:eastAsia="仿宋_GB2312" w:hAnsi="Times New Roman" w:cs="Times New Roman"/>
              </w:rPr>
            </w:pPr>
          </w:p>
        </w:tc>
        <w:tc>
          <w:tcPr>
            <w:tcW w:w="2902" w:type="dxa"/>
            <w:shd w:val="clear" w:color="auto" w:fill="auto"/>
            <w:vAlign w:val="center"/>
          </w:tcPr>
          <w:p w:rsidR="00CA2BB5" w:rsidRDefault="00CA2BB5">
            <w:pPr>
              <w:spacing w:line="584" w:lineRule="exact"/>
              <w:jc w:val="center"/>
              <w:rPr>
                <w:rFonts w:ascii="Times New Roman" w:eastAsia="仿宋_GB2312" w:hAnsi="Times New Roman" w:cs="Times New Roman"/>
              </w:rPr>
            </w:pPr>
          </w:p>
        </w:tc>
      </w:tr>
    </w:tbl>
    <w:p w:rsidR="00CA2BB5" w:rsidRDefault="001649B7">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二、部门预算安排的总体情况</w:t>
      </w:r>
    </w:p>
    <w:p w:rsidR="00CA2BB5" w:rsidRDefault="00F63A2F">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sidR="001649B7">
        <w:rPr>
          <w:rFonts w:ascii="Times New Roman" w:eastAsia="仿宋_GB2312" w:hAnsi="Times New Roman" w:cs="Times New Roman"/>
          <w:sz w:val="32"/>
          <w:szCs w:val="32"/>
        </w:rPr>
        <w:t>部门预算的编制实行综合预算制度，即全部收入和支出都反映在预算中。</w:t>
      </w:r>
    </w:p>
    <w:p w:rsidR="00CA2BB5" w:rsidRDefault="001649B7">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CA2BB5" w:rsidRDefault="001649B7">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年预算收入</w:t>
      </w:r>
      <w:r w:rsidR="0072360D">
        <w:rPr>
          <w:rFonts w:ascii="Times New Roman" w:eastAsia="仿宋_GB2312" w:hAnsi="Times New Roman" w:cs="Times New Roman" w:hint="eastAsia"/>
          <w:sz w:val="32"/>
          <w:szCs w:val="32"/>
        </w:rPr>
        <w:t>252.30</w:t>
      </w:r>
      <w:r>
        <w:rPr>
          <w:rFonts w:ascii="Times New Roman" w:eastAsia="仿宋_GB2312" w:hAnsi="Times New Roman" w:cs="Times New Roman"/>
          <w:sz w:val="32"/>
          <w:szCs w:val="32"/>
        </w:rPr>
        <w:t>万元，其中：一般公共预算收入</w:t>
      </w:r>
      <w:r w:rsidR="0072360D">
        <w:rPr>
          <w:rFonts w:ascii="Times New Roman" w:eastAsia="仿宋_GB2312" w:hAnsi="Times New Roman" w:cs="Times New Roman" w:hint="eastAsia"/>
          <w:sz w:val="32"/>
          <w:szCs w:val="32"/>
        </w:rPr>
        <w:t>252.30</w:t>
      </w:r>
      <w:r>
        <w:rPr>
          <w:rFonts w:ascii="Times New Roman" w:eastAsia="仿宋_GB2312" w:hAnsi="Times New Roman" w:cs="Times New Roman"/>
          <w:sz w:val="32"/>
          <w:szCs w:val="32"/>
        </w:rPr>
        <w:t>万元，基金预算收入</w:t>
      </w:r>
      <w:r w:rsidR="0072360D">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sidR="0072360D">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72360D">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rsidR="00CA2BB5" w:rsidRDefault="001649B7">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076694" w:rsidRDefault="001649B7">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收支预算总表支出栏、基本支出表、项目支出表按经济分类和支出功能分类科目编制，反映</w:t>
      </w:r>
      <w:r w:rsidR="00076694">
        <w:rPr>
          <w:rFonts w:ascii="Times New Roman" w:eastAsia="仿宋_GB2312" w:hAnsi="Times New Roman" w:cs="Times New Roman" w:hint="eastAsia"/>
          <w:sz w:val="32"/>
          <w:szCs w:val="32"/>
        </w:rPr>
        <w:t>大城红木文化产业园管理办公室</w:t>
      </w:r>
      <w:r w:rsidR="00076694">
        <w:rPr>
          <w:rFonts w:ascii="Times New Roman" w:eastAsia="仿宋_GB2312" w:hAnsi="Times New Roman" w:cs="Times New Roman" w:hint="eastAsia"/>
          <w:sz w:val="32"/>
          <w:szCs w:val="32"/>
        </w:rPr>
        <w:t>2019</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年支出预算</w:t>
      </w:r>
      <w:r w:rsidR="00076694">
        <w:rPr>
          <w:rFonts w:ascii="Times New Roman" w:eastAsia="仿宋_GB2312" w:hAnsi="Times New Roman" w:cs="Times New Roman" w:hint="eastAsia"/>
          <w:sz w:val="32"/>
          <w:szCs w:val="32"/>
        </w:rPr>
        <w:t>252.30</w:t>
      </w:r>
      <w:r>
        <w:rPr>
          <w:rFonts w:ascii="Times New Roman" w:eastAsia="仿宋_GB2312" w:hAnsi="Times New Roman" w:cs="Times New Roman"/>
          <w:sz w:val="32"/>
          <w:szCs w:val="32"/>
        </w:rPr>
        <w:t>万元，其中基本支出</w:t>
      </w:r>
      <w:r w:rsidR="00076694">
        <w:rPr>
          <w:rFonts w:ascii="Times New Roman" w:eastAsia="仿宋_GB2312" w:hAnsi="Times New Roman" w:cs="Times New Roman" w:hint="eastAsia"/>
          <w:sz w:val="32"/>
          <w:szCs w:val="32"/>
        </w:rPr>
        <w:t>78.30</w:t>
      </w:r>
      <w:r>
        <w:rPr>
          <w:rFonts w:ascii="Times New Roman" w:eastAsia="仿宋_GB2312" w:hAnsi="Times New Roman" w:cs="Times New Roman"/>
          <w:sz w:val="32"/>
          <w:szCs w:val="32"/>
        </w:rPr>
        <w:t>万元，包括人员经费</w:t>
      </w:r>
      <w:r w:rsidR="00076694">
        <w:rPr>
          <w:rFonts w:ascii="Times New Roman" w:eastAsia="仿宋_GB2312" w:hAnsi="Times New Roman" w:cs="Times New Roman" w:hint="eastAsia"/>
          <w:sz w:val="32"/>
          <w:szCs w:val="32"/>
        </w:rPr>
        <w:t>67.70</w:t>
      </w:r>
      <w:r>
        <w:rPr>
          <w:rFonts w:ascii="Times New Roman" w:eastAsia="仿宋_GB2312" w:hAnsi="Times New Roman" w:cs="Times New Roman"/>
          <w:sz w:val="32"/>
          <w:szCs w:val="32"/>
        </w:rPr>
        <w:t>万元和日常公用经费</w:t>
      </w:r>
      <w:r w:rsidR="00076694">
        <w:rPr>
          <w:rFonts w:ascii="Times New Roman" w:eastAsia="仿宋_GB2312" w:hAnsi="Times New Roman" w:cs="Times New Roman" w:hint="eastAsia"/>
          <w:sz w:val="32"/>
          <w:szCs w:val="32"/>
        </w:rPr>
        <w:t>10.60</w:t>
      </w:r>
      <w:r>
        <w:rPr>
          <w:rFonts w:ascii="Times New Roman" w:eastAsia="仿宋_GB2312" w:hAnsi="Times New Roman" w:cs="Times New Roman"/>
          <w:sz w:val="32"/>
          <w:szCs w:val="32"/>
        </w:rPr>
        <w:t>万元；项目支出</w:t>
      </w:r>
      <w:r w:rsidR="00076694">
        <w:rPr>
          <w:rFonts w:ascii="Times New Roman" w:eastAsia="仿宋_GB2312" w:hAnsi="Times New Roman" w:cs="Times New Roman" w:hint="eastAsia"/>
          <w:sz w:val="32"/>
          <w:szCs w:val="32"/>
        </w:rPr>
        <w:t>174</w:t>
      </w:r>
      <w:r>
        <w:rPr>
          <w:rFonts w:ascii="Times New Roman" w:eastAsia="仿宋_GB2312" w:hAnsi="Times New Roman" w:cs="Times New Roman"/>
          <w:sz w:val="32"/>
          <w:szCs w:val="32"/>
        </w:rPr>
        <w:t>万元，包括本级支出</w:t>
      </w:r>
      <w:r w:rsidR="00076694">
        <w:rPr>
          <w:rFonts w:ascii="Times New Roman" w:eastAsia="仿宋_GB2312" w:hAnsi="Times New Roman" w:cs="Times New Roman" w:hint="eastAsia"/>
          <w:sz w:val="32"/>
          <w:szCs w:val="32"/>
        </w:rPr>
        <w:t>174</w:t>
      </w:r>
      <w:r>
        <w:rPr>
          <w:rFonts w:ascii="Times New Roman" w:eastAsia="仿宋_GB2312" w:hAnsi="Times New Roman" w:cs="Times New Roman"/>
          <w:sz w:val="32"/>
          <w:szCs w:val="32"/>
        </w:rPr>
        <w:t>万元，主要为</w:t>
      </w:r>
      <w:r w:rsidR="00076694">
        <w:rPr>
          <w:rFonts w:ascii="仿宋_GB2312" w:eastAsia="仿宋_GB2312" w:hAnsi="仿宋_GB2312" w:cs="仿宋_GB2312" w:hint="eastAsia"/>
          <w:sz w:val="32"/>
          <w:szCs w:val="32"/>
        </w:rPr>
        <w:t>大城县红木检测中心技术服务费50万元</w:t>
      </w:r>
      <w:r>
        <w:rPr>
          <w:rFonts w:ascii="Times New Roman" w:eastAsia="仿宋_GB2312" w:hAnsi="Times New Roman" w:cs="Times New Roman"/>
          <w:sz w:val="32"/>
          <w:szCs w:val="32"/>
        </w:rPr>
        <w:t>、</w:t>
      </w:r>
      <w:r w:rsidR="00076694" w:rsidRPr="00076694">
        <w:rPr>
          <w:rFonts w:ascii="Times New Roman" w:eastAsia="仿宋_GB2312" w:hAnsi="Times New Roman" w:cs="Times New Roman" w:hint="eastAsia"/>
          <w:sz w:val="32"/>
          <w:szCs w:val="32"/>
        </w:rPr>
        <w:t>红木产品材质检测</w:t>
      </w:r>
      <w:proofErr w:type="gramStart"/>
      <w:r w:rsidR="00076694" w:rsidRPr="00076694">
        <w:rPr>
          <w:rFonts w:ascii="Times New Roman" w:eastAsia="仿宋_GB2312" w:hAnsi="Times New Roman" w:cs="Times New Roman" w:hint="eastAsia"/>
          <w:sz w:val="32"/>
          <w:szCs w:val="32"/>
        </w:rPr>
        <w:t>二维码认证</w:t>
      </w:r>
      <w:proofErr w:type="gramEnd"/>
      <w:r w:rsidR="00076694" w:rsidRPr="00076694">
        <w:rPr>
          <w:rFonts w:ascii="Times New Roman" w:eastAsia="仿宋_GB2312" w:hAnsi="Times New Roman" w:cs="Times New Roman" w:hint="eastAsia"/>
          <w:sz w:val="32"/>
          <w:szCs w:val="32"/>
        </w:rPr>
        <w:t>技术宣传推广经费</w:t>
      </w:r>
      <w:r w:rsidR="00076694">
        <w:rPr>
          <w:rFonts w:ascii="Times New Roman" w:eastAsia="仿宋_GB2312" w:hAnsi="Times New Roman" w:cs="Times New Roman" w:hint="eastAsia"/>
          <w:sz w:val="32"/>
          <w:szCs w:val="32"/>
        </w:rPr>
        <w:t>40</w:t>
      </w:r>
      <w:r w:rsidR="00076694">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r w:rsidR="00076694" w:rsidRPr="00076694">
        <w:rPr>
          <w:rFonts w:ascii="Times New Roman" w:eastAsia="仿宋_GB2312" w:hAnsi="Times New Roman" w:cs="Times New Roman" w:hint="eastAsia"/>
          <w:sz w:val="32"/>
          <w:szCs w:val="32"/>
        </w:rPr>
        <w:t>园区招商宣传活动经费</w:t>
      </w:r>
      <w:r w:rsidR="00076694">
        <w:rPr>
          <w:rFonts w:ascii="Times New Roman" w:eastAsia="仿宋_GB2312" w:hAnsi="Times New Roman" w:cs="Times New Roman" w:hint="eastAsia"/>
          <w:sz w:val="32"/>
          <w:szCs w:val="32"/>
        </w:rPr>
        <w:t>40</w:t>
      </w:r>
      <w:r w:rsidR="00076694">
        <w:rPr>
          <w:rFonts w:ascii="Times New Roman" w:eastAsia="仿宋_GB2312" w:hAnsi="Times New Roman" w:cs="Times New Roman" w:hint="eastAsia"/>
          <w:sz w:val="32"/>
          <w:szCs w:val="32"/>
        </w:rPr>
        <w:t>万元、</w:t>
      </w:r>
      <w:r w:rsidR="00076694" w:rsidRPr="00076694">
        <w:rPr>
          <w:rFonts w:ascii="Times New Roman" w:eastAsia="仿宋_GB2312" w:hAnsi="Times New Roman" w:cs="Times New Roman" w:hint="eastAsia"/>
          <w:sz w:val="32"/>
          <w:szCs w:val="32"/>
        </w:rPr>
        <w:t>景区申报推介活动经费</w:t>
      </w:r>
      <w:r w:rsidR="00076694">
        <w:rPr>
          <w:rFonts w:ascii="Times New Roman" w:eastAsia="仿宋_GB2312" w:hAnsi="Times New Roman" w:cs="Times New Roman" w:hint="eastAsia"/>
          <w:sz w:val="32"/>
          <w:szCs w:val="32"/>
        </w:rPr>
        <w:t>10</w:t>
      </w:r>
      <w:r w:rsidR="00076694">
        <w:rPr>
          <w:rFonts w:ascii="Times New Roman" w:eastAsia="仿宋_GB2312" w:hAnsi="Times New Roman" w:cs="Times New Roman" w:hint="eastAsia"/>
          <w:sz w:val="32"/>
          <w:szCs w:val="32"/>
        </w:rPr>
        <w:t>万元、</w:t>
      </w:r>
      <w:r w:rsidR="00076694" w:rsidRPr="00076694">
        <w:rPr>
          <w:rFonts w:ascii="Times New Roman" w:eastAsia="仿宋_GB2312" w:hAnsi="Times New Roman" w:cs="Times New Roman" w:hint="eastAsia"/>
          <w:sz w:val="32"/>
          <w:szCs w:val="32"/>
        </w:rPr>
        <w:t>特色小镇申报推介活动经费</w:t>
      </w:r>
      <w:r w:rsidR="00076694">
        <w:rPr>
          <w:rFonts w:ascii="Times New Roman" w:eastAsia="仿宋_GB2312" w:hAnsi="Times New Roman" w:cs="Times New Roman" w:hint="eastAsia"/>
          <w:sz w:val="32"/>
          <w:szCs w:val="32"/>
        </w:rPr>
        <w:t>10</w:t>
      </w:r>
      <w:r w:rsidR="00076694">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等</w:t>
      </w:r>
      <w:r w:rsidR="00076694">
        <w:rPr>
          <w:rFonts w:ascii="Times New Roman" w:eastAsia="仿宋_GB2312" w:hAnsi="Times New Roman" w:cs="Times New Roman" w:hint="eastAsia"/>
          <w:sz w:val="32"/>
          <w:szCs w:val="32"/>
        </w:rPr>
        <w:t>。</w:t>
      </w:r>
    </w:p>
    <w:p w:rsidR="00CA2BB5" w:rsidRDefault="00076694">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 xml:space="preserve"> </w:t>
      </w:r>
      <w:r w:rsidR="001649B7">
        <w:rPr>
          <w:rFonts w:ascii="Times New Roman" w:eastAsia="仿宋_GB2312" w:hAnsi="Times New Roman" w:cs="Times New Roman"/>
          <w:b/>
          <w:sz w:val="32"/>
          <w:szCs w:val="32"/>
        </w:rPr>
        <w:t>3</w:t>
      </w:r>
      <w:r w:rsidR="001649B7">
        <w:rPr>
          <w:rFonts w:ascii="Times New Roman" w:eastAsia="仿宋_GB2312" w:hAnsi="Times New Roman" w:cs="Times New Roman"/>
          <w:b/>
          <w:sz w:val="32"/>
          <w:szCs w:val="32"/>
        </w:rPr>
        <w:t>、比上年增减情况</w:t>
      </w:r>
    </w:p>
    <w:p w:rsidR="00CA2BB5" w:rsidRDefault="001649B7">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年预算收支安排</w:t>
      </w:r>
      <w:r w:rsidR="00076694">
        <w:rPr>
          <w:rFonts w:ascii="Times New Roman" w:eastAsia="仿宋_GB2312" w:hAnsi="Times New Roman" w:cs="Times New Roman" w:hint="eastAsia"/>
          <w:sz w:val="32"/>
          <w:szCs w:val="32"/>
        </w:rPr>
        <w:t>252.30</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年预算</w:t>
      </w:r>
      <w:r w:rsidR="00542B59" w:rsidRPr="00542B59">
        <w:rPr>
          <w:rFonts w:ascii="Times New Roman" w:eastAsia="仿宋_GB2312" w:hAnsi="Times New Roman" w:cs="Times New Roman"/>
          <w:sz w:val="32"/>
          <w:szCs w:val="32"/>
        </w:rPr>
        <w:t>减少</w:t>
      </w:r>
      <w:r w:rsidR="00542B59" w:rsidRPr="00542B59">
        <w:rPr>
          <w:rFonts w:ascii="Times New Roman" w:eastAsia="仿宋_GB2312" w:hAnsi="Times New Roman" w:cs="Times New Roman" w:hint="eastAsia"/>
          <w:sz w:val="32"/>
          <w:szCs w:val="32"/>
        </w:rPr>
        <w:t>1</w:t>
      </w:r>
      <w:r w:rsidR="00542B59">
        <w:rPr>
          <w:rFonts w:ascii="Times New Roman" w:eastAsia="仿宋_GB2312" w:hAnsi="Times New Roman" w:cs="Times New Roman" w:hint="eastAsia"/>
          <w:sz w:val="32"/>
          <w:szCs w:val="32"/>
        </w:rPr>
        <w:t>84.04</w:t>
      </w:r>
      <w:r>
        <w:rPr>
          <w:rFonts w:ascii="Times New Roman" w:eastAsia="仿宋_GB2312" w:hAnsi="Times New Roman" w:cs="Times New Roman"/>
          <w:sz w:val="32"/>
          <w:szCs w:val="32"/>
        </w:rPr>
        <w:t>万元，其中：基本支出</w:t>
      </w:r>
      <w:r w:rsidRPr="00542B59">
        <w:rPr>
          <w:rFonts w:ascii="Times New Roman" w:eastAsia="仿宋_GB2312" w:hAnsi="Times New Roman" w:cs="Times New Roman"/>
          <w:sz w:val="32"/>
          <w:szCs w:val="32"/>
        </w:rPr>
        <w:t>减少</w:t>
      </w:r>
      <w:r w:rsidR="00542B59">
        <w:rPr>
          <w:rFonts w:ascii="Times New Roman" w:eastAsia="仿宋_GB2312" w:hAnsi="Times New Roman" w:cs="Times New Roman" w:hint="eastAsia"/>
          <w:sz w:val="32"/>
          <w:szCs w:val="32"/>
        </w:rPr>
        <w:t>3.04</w:t>
      </w:r>
      <w:r>
        <w:rPr>
          <w:rFonts w:ascii="Times New Roman" w:eastAsia="仿宋_GB2312" w:hAnsi="Times New Roman" w:cs="Times New Roman"/>
          <w:sz w:val="32"/>
          <w:szCs w:val="32"/>
        </w:rPr>
        <w:t>万元，主要为</w:t>
      </w:r>
      <w:r w:rsidR="00542B59">
        <w:rPr>
          <w:rFonts w:ascii="Times New Roman" w:eastAsia="仿宋_GB2312" w:hAnsi="Times New Roman" w:cs="Times New Roman" w:hint="eastAsia"/>
          <w:sz w:val="32"/>
          <w:szCs w:val="32"/>
        </w:rPr>
        <w:t>人员经费</w:t>
      </w:r>
      <w:r w:rsidR="00542B59">
        <w:rPr>
          <w:rFonts w:ascii="Times New Roman" w:eastAsia="仿宋_GB2312" w:hAnsi="Times New Roman" w:cs="Times New Roman"/>
          <w:sz w:val="32"/>
          <w:szCs w:val="32"/>
        </w:rPr>
        <w:t>支出；项目支出</w:t>
      </w:r>
      <w:r w:rsidRPr="00542B59">
        <w:rPr>
          <w:rFonts w:ascii="Times New Roman" w:eastAsia="仿宋_GB2312" w:hAnsi="Times New Roman" w:cs="Times New Roman"/>
          <w:sz w:val="32"/>
          <w:szCs w:val="32"/>
        </w:rPr>
        <w:t>减少</w:t>
      </w:r>
      <w:r w:rsidR="00542B59">
        <w:rPr>
          <w:rFonts w:ascii="Times New Roman" w:eastAsia="仿宋_GB2312" w:hAnsi="Times New Roman" w:cs="Times New Roman" w:hint="eastAsia"/>
          <w:sz w:val="32"/>
          <w:szCs w:val="32"/>
        </w:rPr>
        <w:t>181</w:t>
      </w:r>
      <w:r>
        <w:rPr>
          <w:rFonts w:ascii="Times New Roman" w:eastAsia="仿宋_GB2312" w:hAnsi="Times New Roman" w:cs="Times New Roman"/>
          <w:sz w:val="32"/>
          <w:szCs w:val="32"/>
        </w:rPr>
        <w:t>万元，主要为</w:t>
      </w:r>
      <w:r w:rsidR="00542B59">
        <w:rPr>
          <w:rFonts w:ascii="仿宋_GB2312" w:eastAsia="仿宋_GB2312" w:hAnsi="仿宋_GB2312" w:cs="仿宋_GB2312" w:hint="eastAsia"/>
          <w:sz w:val="32"/>
          <w:szCs w:val="32"/>
        </w:rPr>
        <w:t>产业宣传活动经费</w:t>
      </w:r>
      <w:r w:rsidR="00542B59">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项目支出。</w:t>
      </w:r>
    </w:p>
    <w:p w:rsidR="00CA2BB5" w:rsidRDefault="001649B7">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三、机关运行经费安排情况</w:t>
      </w:r>
    </w:p>
    <w:p w:rsidR="00CA2BB5" w:rsidRDefault="001649B7">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w:t>
      </w:r>
      <w:proofErr w:type="gramStart"/>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部门</w:t>
      </w:r>
      <w:proofErr w:type="gramEnd"/>
      <w:r>
        <w:rPr>
          <w:rFonts w:ascii="Times New Roman" w:eastAsia="仿宋_GB2312" w:hAnsi="Times New Roman" w:cs="Times New Roman"/>
          <w:sz w:val="32"/>
          <w:szCs w:val="32"/>
        </w:rPr>
        <w:t>机关运行经费共计安排</w:t>
      </w:r>
      <w:r w:rsidR="006C1142">
        <w:rPr>
          <w:rFonts w:ascii="Times New Roman" w:eastAsia="仿宋_GB2312" w:hAnsi="Times New Roman" w:cs="Times New Roman" w:hint="eastAsia"/>
          <w:sz w:val="32"/>
          <w:szCs w:val="32"/>
        </w:rPr>
        <w:t>10.60</w:t>
      </w:r>
      <w:r>
        <w:rPr>
          <w:rFonts w:ascii="Times New Roman" w:eastAsia="仿宋_GB2312" w:hAnsi="Times New Roman" w:cs="Times New Roman"/>
          <w:sz w:val="32"/>
          <w:szCs w:val="32"/>
        </w:rPr>
        <w:t>万元，主要用于</w:t>
      </w:r>
      <w:proofErr w:type="gramStart"/>
      <w:r>
        <w:rPr>
          <w:rFonts w:ascii="Times New Roman" w:eastAsia="仿宋_GB2312" w:hAnsi="Times New Roman" w:cs="Times New Roman" w:hint="eastAsia"/>
          <w:sz w:val="32"/>
          <w:szCs w:val="32"/>
        </w:rPr>
        <w:t>我部门</w:t>
      </w:r>
      <w:proofErr w:type="gramEnd"/>
      <w:r>
        <w:rPr>
          <w:rFonts w:ascii="Times New Roman" w:eastAsia="仿宋_GB2312" w:hAnsi="Times New Roman" w:cs="Times New Roman"/>
          <w:sz w:val="32"/>
          <w:szCs w:val="32"/>
        </w:rPr>
        <w:t>的</w:t>
      </w:r>
      <w:r w:rsidR="006C1142">
        <w:rPr>
          <w:rFonts w:ascii="Times New Roman" w:eastAsia="仿宋_GB2312" w:hAnsi="Times New Roman" w:cs="Times New Roman" w:hint="eastAsia"/>
          <w:sz w:val="32"/>
          <w:szCs w:val="32"/>
        </w:rPr>
        <w:t>办公费</w:t>
      </w:r>
      <w:r w:rsidR="006C1142">
        <w:rPr>
          <w:rFonts w:ascii="Times New Roman" w:eastAsia="仿宋_GB2312" w:hAnsi="Times New Roman" w:cs="Times New Roman" w:hint="eastAsia"/>
          <w:sz w:val="32"/>
          <w:szCs w:val="32"/>
        </w:rPr>
        <w:t>2</w:t>
      </w:r>
      <w:r w:rsidR="006C1142">
        <w:rPr>
          <w:rFonts w:ascii="Times New Roman" w:eastAsia="仿宋_GB2312" w:hAnsi="Times New Roman" w:cs="Times New Roman" w:hint="eastAsia"/>
          <w:sz w:val="32"/>
          <w:szCs w:val="32"/>
        </w:rPr>
        <w:t>万元、邮电费</w:t>
      </w:r>
      <w:r w:rsidR="006C1142">
        <w:rPr>
          <w:rFonts w:ascii="Times New Roman" w:eastAsia="仿宋_GB2312" w:hAnsi="Times New Roman" w:cs="Times New Roman" w:hint="eastAsia"/>
          <w:sz w:val="32"/>
          <w:szCs w:val="32"/>
        </w:rPr>
        <w:t>0.20</w:t>
      </w:r>
      <w:r w:rsidR="006C1142">
        <w:rPr>
          <w:rFonts w:ascii="Times New Roman" w:eastAsia="仿宋_GB2312" w:hAnsi="Times New Roman" w:cs="Times New Roman" w:hint="eastAsia"/>
          <w:sz w:val="32"/>
          <w:szCs w:val="32"/>
        </w:rPr>
        <w:t>万元、差旅费</w:t>
      </w:r>
      <w:r w:rsidR="006C1142">
        <w:rPr>
          <w:rFonts w:ascii="Times New Roman" w:eastAsia="仿宋_GB2312" w:hAnsi="Times New Roman" w:cs="Times New Roman" w:hint="eastAsia"/>
          <w:sz w:val="32"/>
          <w:szCs w:val="32"/>
        </w:rPr>
        <w:t>0.80</w:t>
      </w:r>
      <w:r w:rsidR="006C1142">
        <w:rPr>
          <w:rFonts w:ascii="Times New Roman" w:eastAsia="仿宋_GB2312" w:hAnsi="Times New Roman" w:cs="Times New Roman" w:hint="eastAsia"/>
          <w:sz w:val="32"/>
          <w:szCs w:val="32"/>
        </w:rPr>
        <w:t>万元、办公设备购置费</w:t>
      </w:r>
      <w:r w:rsidR="006C1142">
        <w:rPr>
          <w:rFonts w:ascii="Times New Roman" w:eastAsia="仿宋_GB2312" w:hAnsi="Times New Roman" w:cs="Times New Roman" w:hint="eastAsia"/>
          <w:sz w:val="32"/>
          <w:szCs w:val="32"/>
        </w:rPr>
        <w:t>0.30</w:t>
      </w:r>
      <w:r w:rsidR="006C1142">
        <w:rPr>
          <w:rFonts w:ascii="Times New Roman" w:eastAsia="仿宋_GB2312" w:hAnsi="Times New Roman" w:cs="Times New Roman" w:hint="eastAsia"/>
          <w:sz w:val="32"/>
          <w:szCs w:val="32"/>
        </w:rPr>
        <w:t>万元、公务接待费</w:t>
      </w:r>
      <w:r w:rsidR="006C1142">
        <w:rPr>
          <w:rFonts w:ascii="Times New Roman" w:eastAsia="仿宋_GB2312" w:hAnsi="Times New Roman" w:cs="Times New Roman" w:hint="eastAsia"/>
          <w:sz w:val="32"/>
          <w:szCs w:val="32"/>
        </w:rPr>
        <w:t>0.20</w:t>
      </w:r>
      <w:r w:rsidR="006C1142">
        <w:rPr>
          <w:rFonts w:ascii="Times New Roman" w:eastAsia="仿宋_GB2312" w:hAnsi="Times New Roman" w:cs="Times New Roman" w:hint="eastAsia"/>
          <w:sz w:val="32"/>
          <w:szCs w:val="32"/>
        </w:rPr>
        <w:t>万元、工会经费</w:t>
      </w:r>
      <w:r w:rsidR="006C1142">
        <w:rPr>
          <w:rFonts w:ascii="Times New Roman" w:eastAsia="仿宋_GB2312" w:hAnsi="Times New Roman" w:cs="Times New Roman" w:hint="eastAsia"/>
          <w:sz w:val="32"/>
          <w:szCs w:val="32"/>
        </w:rPr>
        <w:t>0.60</w:t>
      </w:r>
      <w:r w:rsidR="006C1142">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办公用房取暖费</w:t>
      </w:r>
      <w:r w:rsidR="006C1142">
        <w:rPr>
          <w:rFonts w:ascii="Times New Roman" w:eastAsia="仿宋_GB2312" w:hAnsi="Times New Roman" w:cs="Times New Roman" w:hint="eastAsia"/>
          <w:sz w:val="32"/>
          <w:szCs w:val="32"/>
        </w:rPr>
        <w:t>3</w:t>
      </w:r>
      <w:r w:rsidR="006C1142">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r w:rsidR="006C1142" w:rsidRPr="006C1142">
        <w:rPr>
          <w:rFonts w:ascii="Times New Roman" w:eastAsia="仿宋_GB2312" w:hAnsi="Times New Roman" w:cs="Times New Roman" w:hint="eastAsia"/>
          <w:sz w:val="32"/>
          <w:szCs w:val="32"/>
        </w:rPr>
        <w:t>公务用车运行维护费</w:t>
      </w:r>
      <w:r w:rsidR="006C1142">
        <w:rPr>
          <w:rFonts w:ascii="Times New Roman" w:eastAsia="仿宋_GB2312" w:hAnsi="Times New Roman" w:cs="Times New Roman" w:hint="eastAsia"/>
          <w:sz w:val="32"/>
          <w:szCs w:val="32"/>
        </w:rPr>
        <w:t>3.50</w:t>
      </w:r>
      <w:r w:rsidR="006C1142">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日常运行支出。</w:t>
      </w:r>
    </w:p>
    <w:p w:rsidR="00CA2BB5" w:rsidRDefault="001649B7">
      <w:pPr>
        <w:autoSpaceDE w:val="0"/>
        <w:autoSpaceDN w:val="0"/>
        <w:adjustRightInd w:val="0"/>
        <w:spacing w:line="584" w:lineRule="exact"/>
        <w:ind w:left="198" w:firstLineChars="200" w:firstLine="640"/>
        <w:jc w:val="left"/>
        <w:rPr>
          <w:rFonts w:ascii="Times New Roman" w:eastAsia="黑体" w:hAnsi="黑体" w:cs="Times New Roman"/>
          <w:sz w:val="32"/>
          <w:szCs w:val="32"/>
        </w:rPr>
      </w:pPr>
      <w:r>
        <w:rPr>
          <w:rFonts w:ascii="Times New Roman" w:eastAsia="黑体" w:hAnsi="黑体" w:cs="Times New Roman"/>
          <w:sz w:val="32"/>
          <w:szCs w:val="32"/>
        </w:rPr>
        <w:t>四、财政拨款“三公”经费预算情况及增减变化原因</w:t>
      </w:r>
    </w:p>
    <w:p w:rsidR="00CA2BB5" w:rsidRDefault="001649B7" w:rsidP="0008751C">
      <w:pPr>
        <w:spacing w:line="584" w:lineRule="exact"/>
        <w:ind w:firstLineChars="200" w:firstLine="64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w:t>
      </w:r>
      <w:proofErr w:type="gramStart"/>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部门</w:t>
      </w:r>
      <w:proofErr w:type="gramEnd"/>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08751C">
        <w:rPr>
          <w:rFonts w:ascii="Times New Roman" w:eastAsia="仿宋_GB2312" w:hAnsi="Times New Roman" w:cs="Times New Roman" w:hint="eastAsia"/>
          <w:sz w:val="32"/>
          <w:szCs w:val="32"/>
        </w:rPr>
        <w:t>3.70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08751C">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08751C">
        <w:rPr>
          <w:rFonts w:ascii="Times New Roman" w:eastAsia="仿宋_GB2312" w:hAnsi="Times New Roman" w:cs="Times New Roman" w:hint="eastAsia"/>
          <w:sz w:val="32"/>
          <w:szCs w:val="32"/>
        </w:rPr>
        <w:t>3.50</w:t>
      </w:r>
      <w:r>
        <w:rPr>
          <w:rFonts w:ascii="Times New Roman" w:eastAsia="仿宋_GB2312" w:hAnsi="Times New Roman" w:cs="Times New Roman"/>
          <w:sz w:val="32"/>
          <w:szCs w:val="32"/>
        </w:rPr>
        <w:t>万</w:t>
      </w:r>
      <w:bookmarkStart w:id="0" w:name="_GoBack"/>
      <w:bookmarkEnd w:id="0"/>
      <w:r>
        <w:rPr>
          <w:rFonts w:ascii="Times New Roman" w:eastAsia="仿宋_GB2312" w:hAnsi="Times New Roman" w:cs="Times New Roman"/>
          <w:sz w:val="32"/>
          <w:szCs w:val="32"/>
        </w:rPr>
        <w:t>元（其中：公务用车购置费为</w:t>
      </w:r>
      <w:r w:rsidR="0008751C">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08751C">
        <w:rPr>
          <w:rFonts w:ascii="Times New Roman" w:eastAsia="仿宋_GB2312" w:hAnsi="Times New Roman" w:cs="Times New Roman" w:hint="eastAsia"/>
          <w:sz w:val="32"/>
          <w:szCs w:val="32"/>
        </w:rPr>
        <w:t>3.50</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w:t>
      </w:r>
      <w:r>
        <w:rPr>
          <w:rFonts w:ascii="Times New Roman" w:eastAsia="仿宋_GB2312" w:hAnsi="Times New Roman" w:cs="Times New Roman"/>
          <w:sz w:val="32"/>
          <w:szCs w:val="32"/>
        </w:rPr>
        <w:lastRenderedPageBreak/>
        <w:t>待费</w:t>
      </w:r>
      <w:r w:rsidR="0008751C">
        <w:rPr>
          <w:rFonts w:ascii="Times New Roman" w:eastAsia="仿宋_GB2312" w:hAnsi="Times New Roman" w:cs="Times New Roman" w:hint="eastAsia"/>
          <w:sz w:val="32"/>
          <w:szCs w:val="32"/>
        </w:rPr>
        <w:t>0.20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Pr="0008751C">
        <w:rPr>
          <w:rFonts w:ascii="Times New Roman" w:eastAsia="仿宋_GB2312" w:hAnsi="Times New Roman" w:cs="Times New Roman"/>
          <w:sz w:val="32"/>
          <w:szCs w:val="32"/>
        </w:rPr>
        <w:t>持平</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sidR="0008751C" w:rsidRPr="0008751C">
        <w:rPr>
          <w:rFonts w:ascii="Times New Roman" w:eastAsia="仿宋_GB2312" w:hAnsi="Times New Roman" w:cs="Times New Roman" w:hint="eastAsia"/>
          <w:color w:val="000000" w:themeColor="text1"/>
          <w:sz w:val="32"/>
          <w:szCs w:val="32"/>
        </w:rPr>
        <w:t>与</w:t>
      </w:r>
      <w:r w:rsidR="0008751C" w:rsidRPr="0008751C">
        <w:rPr>
          <w:rFonts w:ascii="Times New Roman" w:eastAsia="仿宋_GB2312" w:hAnsi="Times New Roman" w:cs="Times New Roman"/>
          <w:color w:val="000000" w:themeColor="text1"/>
          <w:sz w:val="32"/>
          <w:szCs w:val="32"/>
        </w:rPr>
        <w:t>201</w:t>
      </w:r>
      <w:r w:rsidR="0008751C" w:rsidRPr="0008751C">
        <w:rPr>
          <w:rFonts w:ascii="Times New Roman" w:eastAsia="仿宋_GB2312" w:hAnsi="Times New Roman" w:cs="Times New Roman" w:hint="eastAsia"/>
          <w:color w:val="000000" w:themeColor="text1"/>
          <w:sz w:val="32"/>
          <w:szCs w:val="32"/>
        </w:rPr>
        <w:t>8</w:t>
      </w:r>
      <w:r w:rsidR="0008751C" w:rsidRPr="0008751C">
        <w:rPr>
          <w:rFonts w:ascii="Times New Roman" w:eastAsia="仿宋_GB2312" w:hAnsi="Times New Roman" w:cs="Times New Roman"/>
          <w:color w:val="000000" w:themeColor="text1"/>
          <w:sz w:val="32"/>
          <w:szCs w:val="32"/>
        </w:rPr>
        <w:t>年相比持平，无增减变化</w:t>
      </w:r>
      <w:r>
        <w:rPr>
          <w:rFonts w:ascii="Times New Roman" w:eastAsia="仿宋_GB2312" w:hAnsi="Times New Roman" w:cs="Times New Roman"/>
          <w:sz w:val="32"/>
          <w:szCs w:val="32"/>
        </w:rPr>
        <w:t>（其中：公务用车购置费</w:t>
      </w:r>
      <w:r w:rsidR="0008751C">
        <w:rPr>
          <w:rFonts w:ascii="Times New Roman" w:eastAsia="仿宋_GB2312" w:hAnsi="Times New Roman" w:cs="Times New Roman" w:hint="eastAsia"/>
          <w:sz w:val="32"/>
          <w:szCs w:val="32"/>
        </w:rPr>
        <w:t>与</w:t>
      </w:r>
      <w:r w:rsidR="0008751C" w:rsidRPr="0008751C">
        <w:rPr>
          <w:rFonts w:ascii="Times New Roman" w:eastAsia="仿宋_GB2312" w:hAnsi="Times New Roman" w:cs="Times New Roman"/>
          <w:color w:val="000000" w:themeColor="text1"/>
          <w:sz w:val="32"/>
          <w:szCs w:val="32"/>
        </w:rPr>
        <w:t>201</w:t>
      </w:r>
      <w:r w:rsidR="0008751C" w:rsidRPr="0008751C">
        <w:rPr>
          <w:rFonts w:ascii="Times New Roman" w:eastAsia="仿宋_GB2312" w:hAnsi="Times New Roman" w:cs="Times New Roman" w:hint="eastAsia"/>
          <w:color w:val="000000" w:themeColor="text1"/>
          <w:sz w:val="32"/>
          <w:szCs w:val="32"/>
        </w:rPr>
        <w:t>8</w:t>
      </w:r>
      <w:r w:rsidR="0008751C" w:rsidRPr="0008751C">
        <w:rPr>
          <w:rFonts w:ascii="Times New Roman" w:eastAsia="仿宋_GB2312" w:hAnsi="Times New Roman" w:cs="Times New Roman"/>
          <w:color w:val="000000" w:themeColor="text1"/>
          <w:sz w:val="32"/>
          <w:szCs w:val="32"/>
        </w:rPr>
        <w:t>年相比持平，无增减变化</w:t>
      </w:r>
      <w:r>
        <w:rPr>
          <w:rFonts w:ascii="Times New Roman" w:eastAsia="仿宋_GB2312" w:hAnsi="Times New Roman" w:cs="Times New Roman"/>
          <w:sz w:val="32"/>
          <w:szCs w:val="32"/>
        </w:rPr>
        <w:t>，公务用车运维费</w:t>
      </w:r>
      <w:r w:rsidR="0008751C">
        <w:rPr>
          <w:rFonts w:ascii="Times New Roman" w:eastAsia="仿宋_GB2312" w:hAnsi="Times New Roman" w:cs="Times New Roman" w:hint="eastAsia"/>
          <w:sz w:val="32"/>
          <w:szCs w:val="32"/>
        </w:rPr>
        <w:t>与</w:t>
      </w:r>
      <w:r w:rsidR="0008751C" w:rsidRPr="0008751C">
        <w:rPr>
          <w:rFonts w:ascii="Times New Roman" w:eastAsia="仿宋_GB2312" w:hAnsi="Times New Roman" w:cs="Times New Roman"/>
          <w:color w:val="000000" w:themeColor="text1"/>
          <w:sz w:val="32"/>
          <w:szCs w:val="32"/>
        </w:rPr>
        <w:t>201</w:t>
      </w:r>
      <w:r w:rsidR="0008751C" w:rsidRPr="0008751C">
        <w:rPr>
          <w:rFonts w:ascii="Times New Roman" w:eastAsia="仿宋_GB2312" w:hAnsi="Times New Roman" w:cs="Times New Roman" w:hint="eastAsia"/>
          <w:color w:val="000000" w:themeColor="text1"/>
          <w:sz w:val="32"/>
          <w:szCs w:val="32"/>
        </w:rPr>
        <w:t>8</w:t>
      </w:r>
      <w:r w:rsidR="0008751C" w:rsidRPr="0008751C">
        <w:rPr>
          <w:rFonts w:ascii="Times New Roman" w:eastAsia="仿宋_GB2312" w:hAnsi="Times New Roman" w:cs="Times New Roman"/>
          <w:color w:val="000000" w:themeColor="text1"/>
          <w:sz w:val="32"/>
          <w:szCs w:val="32"/>
        </w:rPr>
        <w:t>年相比持平，无增减变化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08751C">
        <w:rPr>
          <w:rFonts w:ascii="Times New Roman" w:eastAsia="仿宋_GB2312" w:hAnsi="Times New Roman" w:cs="Times New Roman" w:hint="eastAsia"/>
          <w:sz w:val="32"/>
          <w:szCs w:val="32"/>
        </w:rPr>
        <w:t>与</w:t>
      </w:r>
      <w:r w:rsidR="0008751C" w:rsidRPr="0008751C">
        <w:rPr>
          <w:rFonts w:ascii="Times New Roman" w:eastAsia="仿宋_GB2312" w:hAnsi="Times New Roman" w:cs="Times New Roman"/>
          <w:color w:val="000000" w:themeColor="text1"/>
          <w:sz w:val="32"/>
          <w:szCs w:val="32"/>
        </w:rPr>
        <w:t>201</w:t>
      </w:r>
      <w:r w:rsidR="0008751C" w:rsidRPr="0008751C">
        <w:rPr>
          <w:rFonts w:ascii="Times New Roman" w:eastAsia="仿宋_GB2312" w:hAnsi="Times New Roman" w:cs="Times New Roman" w:hint="eastAsia"/>
          <w:color w:val="000000" w:themeColor="text1"/>
          <w:sz w:val="32"/>
          <w:szCs w:val="32"/>
        </w:rPr>
        <w:t>8</w:t>
      </w:r>
      <w:r w:rsidR="0008751C" w:rsidRPr="0008751C">
        <w:rPr>
          <w:rFonts w:ascii="Times New Roman" w:eastAsia="仿宋_GB2312" w:hAnsi="Times New Roman" w:cs="Times New Roman"/>
          <w:color w:val="000000" w:themeColor="text1"/>
          <w:sz w:val="32"/>
          <w:szCs w:val="32"/>
        </w:rPr>
        <w:t>年相比持平，无增减变化</w:t>
      </w:r>
      <w:r w:rsidR="0008751C">
        <w:rPr>
          <w:rFonts w:ascii="Times New Roman" w:eastAsia="仿宋_GB2312" w:hAnsi="Times New Roman" w:cs="Times New Roman" w:hint="eastAsia"/>
          <w:sz w:val="32"/>
          <w:szCs w:val="32"/>
        </w:rPr>
        <w:t>。</w:t>
      </w:r>
    </w:p>
    <w:p w:rsidR="00FE59A7" w:rsidRPr="00FE59A7" w:rsidRDefault="00FE59A7" w:rsidP="00FE59A7">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五、绩效预算信息</w:t>
      </w:r>
    </w:p>
    <w:p w:rsidR="00CA2BB5" w:rsidRDefault="001649B7">
      <w:pPr>
        <w:spacing w:line="584" w:lineRule="exact"/>
        <w:ind w:firstLineChars="200" w:firstLine="643"/>
        <w:jc w:val="left"/>
        <w:rPr>
          <w:rFonts w:ascii="Times New Roman" w:eastAsia="楷体_GB2312" w:hAnsi="Times New Roman" w:cs="Times New Roman"/>
          <w:b/>
          <w:sz w:val="32"/>
          <w:szCs w:val="32"/>
        </w:rPr>
      </w:pPr>
      <w:bookmarkStart w:id="1" w:name="_Toc471398463"/>
      <w:r>
        <w:rPr>
          <w:rFonts w:ascii="Times New Roman" w:eastAsia="楷体_GB2312" w:hAnsi="Times New Roman" w:cs="Times New Roman"/>
          <w:b/>
          <w:sz w:val="32"/>
          <w:szCs w:val="32"/>
        </w:rPr>
        <w:t>总体绩效目标：</w:t>
      </w:r>
    </w:p>
    <w:p w:rsidR="00960946" w:rsidRPr="00960946" w:rsidRDefault="00960946" w:rsidP="00960946">
      <w:pPr>
        <w:spacing w:line="500" w:lineRule="exact"/>
        <w:ind w:firstLine="560"/>
        <w:rPr>
          <w:rFonts w:ascii="Times New Roman" w:eastAsia="仿宋_GB2312" w:hAnsi="Times New Roman" w:cs="Times New Roman"/>
          <w:sz w:val="32"/>
          <w:szCs w:val="32"/>
        </w:rPr>
      </w:pPr>
      <w:r w:rsidRPr="00960946">
        <w:rPr>
          <w:rFonts w:ascii="Times New Roman" w:eastAsia="仿宋_GB2312" w:hAnsi="Times New Roman" w:cs="Times New Roman"/>
          <w:sz w:val="32"/>
          <w:szCs w:val="32"/>
        </w:rPr>
        <w:t>以</w:t>
      </w:r>
      <w:r w:rsidRPr="00960946">
        <w:rPr>
          <w:rFonts w:ascii="Times New Roman" w:eastAsia="仿宋_GB2312" w:hAnsi="Times New Roman" w:cs="Times New Roman"/>
          <w:sz w:val="32"/>
          <w:szCs w:val="32"/>
        </w:rPr>
        <w:t>“</w:t>
      </w:r>
      <w:r w:rsidRPr="00960946">
        <w:rPr>
          <w:rFonts w:ascii="Times New Roman" w:eastAsia="仿宋_GB2312" w:hAnsi="Times New Roman" w:cs="Times New Roman"/>
          <w:sz w:val="32"/>
          <w:szCs w:val="32"/>
        </w:rPr>
        <w:t>产城融合、以城促产、以产带城</w:t>
      </w:r>
      <w:r w:rsidRPr="00960946">
        <w:rPr>
          <w:rFonts w:ascii="Times New Roman" w:eastAsia="仿宋_GB2312" w:hAnsi="Times New Roman" w:cs="Times New Roman"/>
          <w:sz w:val="32"/>
          <w:szCs w:val="32"/>
        </w:rPr>
        <w:t>”</w:t>
      </w:r>
      <w:r w:rsidRPr="00960946">
        <w:rPr>
          <w:rFonts w:ascii="Times New Roman" w:eastAsia="仿宋_GB2312" w:hAnsi="Times New Roman" w:cs="Times New Roman"/>
          <w:sz w:val="32"/>
          <w:szCs w:val="32"/>
        </w:rPr>
        <w:t>为原则，围绕</w:t>
      </w:r>
      <w:r w:rsidRPr="00960946">
        <w:rPr>
          <w:rFonts w:ascii="Times New Roman" w:eastAsia="仿宋_GB2312" w:hAnsi="Times New Roman" w:cs="Times New Roman"/>
          <w:sz w:val="32"/>
          <w:szCs w:val="32"/>
        </w:rPr>
        <w:t>“</w:t>
      </w:r>
      <w:r w:rsidRPr="00960946">
        <w:rPr>
          <w:rFonts w:ascii="Times New Roman" w:eastAsia="仿宋_GB2312" w:hAnsi="Times New Roman" w:cs="Times New Roman"/>
          <w:sz w:val="32"/>
          <w:szCs w:val="32"/>
        </w:rPr>
        <w:t>加快建设，完善功能，突出特色、提升品质、扩大宣传</w:t>
      </w:r>
      <w:r w:rsidRPr="00960946">
        <w:rPr>
          <w:rFonts w:ascii="Times New Roman" w:eastAsia="仿宋_GB2312" w:hAnsi="Times New Roman" w:cs="Times New Roman"/>
          <w:sz w:val="32"/>
          <w:szCs w:val="32"/>
        </w:rPr>
        <w:t>”</w:t>
      </w:r>
      <w:r w:rsidRPr="00960946">
        <w:rPr>
          <w:rFonts w:ascii="Times New Roman" w:eastAsia="仿宋_GB2312" w:hAnsi="Times New Roman" w:cs="Times New Roman"/>
          <w:sz w:val="32"/>
          <w:szCs w:val="32"/>
        </w:rPr>
        <w:t>做文章，以加快红木文化新城建设为抓手，加快完成园区后续工程建设，提升园区承载水平，加强园区配套设施建设，提升园区水平、品质和档次，推进宫廷木艺文化特色小镇建设</w:t>
      </w:r>
      <w:r w:rsidRPr="00960946">
        <w:rPr>
          <w:rFonts w:ascii="Times New Roman" w:eastAsia="仿宋_GB2312" w:hAnsi="Times New Roman" w:cs="Times New Roman"/>
          <w:sz w:val="32"/>
          <w:szCs w:val="32"/>
        </w:rPr>
        <w:t>,</w:t>
      </w:r>
      <w:r w:rsidRPr="00960946">
        <w:rPr>
          <w:rFonts w:ascii="Times New Roman" w:eastAsia="仿宋_GB2312" w:hAnsi="Times New Roman" w:cs="Times New Roman"/>
          <w:sz w:val="32"/>
          <w:szCs w:val="32"/>
        </w:rPr>
        <w:t>为红木文化产业发展搭建更高的发展平台，抓好景区申报，促进红木文化旅游开发，加大红木文化产业宣传力度，扮靓大城文化名片，做大做强大城红木文化品牌，拉动大城红木产业升级发展。</w:t>
      </w:r>
    </w:p>
    <w:p w:rsidR="00CA2BB5" w:rsidRDefault="001649B7">
      <w:pPr>
        <w:spacing w:line="584" w:lineRule="exact"/>
        <w:ind w:firstLine="560"/>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部门职责及工作活动绩效目标指标：</w:t>
      </w:r>
    </w:p>
    <w:p w:rsidR="001E1896" w:rsidRPr="004373ED" w:rsidRDefault="001E1896" w:rsidP="001E1896">
      <w:pPr>
        <w:jc w:val="center"/>
        <w:outlineLvl w:val="0"/>
        <w:rPr>
          <w:rFonts w:ascii="Times New Roman" w:eastAsia="仿宋_GB2312" w:hAnsi="Times New Roman" w:cs="Times New Roman"/>
          <w:sz w:val="32"/>
        </w:rPr>
      </w:pPr>
      <w:bookmarkStart w:id="2" w:name="_Toc2081034"/>
      <w:r w:rsidRPr="004373ED">
        <w:rPr>
          <w:rFonts w:ascii="Times New Roman" w:eastAsia="仿宋_GB2312" w:hAnsi="Times New Roman" w:cs="Times New Roman" w:hint="eastAsia"/>
          <w:sz w:val="32"/>
        </w:rPr>
        <w:t>部门职责</w:t>
      </w:r>
      <w:r w:rsidRPr="004373ED">
        <w:rPr>
          <w:rFonts w:ascii="Times New Roman" w:eastAsia="仿宋_GB2312" w:hAnsi="Times New Roman" w:cs="Times New Roman" w:hint="eastAsia"/>
          <w:sz w:val="32"/>
        </w:rPr>
        <w:t>-</w:t>
      </w:r>
      <w:r w:rsidRPr="004373ED">
        <w:rPr>
          <w:rFonts w:ascii="Times New Roman" w:eastAsia="仿宋_GB2312" w:hAnsi="Times New Roman" w:cs="Times New Roman" w:hint="eastAsia"/>
          <w:sz w:val="32"/>
        </w:rPr>
        <w:t>工作活动绩效目标</w:t>
      </w:r>
      <w:r w:rsidRPr="004373ED">
        <w:rPr>
          <w:rFonts w:ascii="Times New Roman" w:eastAsia="仿宋_GB2312" w:hAnsi="Times New Roman" w:cs="Times New Roman"/>
          <w:sz w:val="32"/>
        </w:rPr>
        <w:footnoteReference w:customMarkFollows="1" w:id="1"/>
        <w:sym w:font="Symbol" w:char="F020"/>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1E1896" w:rsidTr="002A1E0D">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1E1896" w:rsidRPr="00C634E8" w:rsidRDefault="001E1896" w:rsidP="002A1E0D">
            <w:pPr>
              <w:spacing w:line="300" w:lineRule="exact"/>
              <w:jc w:val="left"/>
              <w:rPr>
                <w:rFonts w:ascii="方正小标宋_GBK" w:eastAsia="方正小标宋_GBK"/>
                <w:sz w:val="24"/>
              </w:rPr>
            </w:pPr>
            <w:r w:rsidRPr="004373ED">
              <w:rPr>
                <w:rFonts w:ascii="Times New Roman" w:eastAsia="仿宋_GB2312" w:hAnsi="Times New Roman" w:cs="Times New Roman"/>
                <w:sz w:val="24"/>
              </w:rPr>
              <w:t>437</w:t>
            </w:r>
            <w:r w:rsidRPr="004373ED">
              <w:rPr>
                <w:rFonts w:ascii="Times New Roman" w:eastAsia="仿宋_GB2312" w:hAnsi="Times New Roman" w:cs="Times New Roman" w:hint="eastAsia"/>
                <w:sz w:val="24"/>
              </w:rPr>
              <w:t>大城红木文化产业园管理办公室</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1E1896" w:rsidRPr="00231FD8" w:rsidRDefault="001E1896" w:rsidP="002A1E0D">
            <w:pPr>
              <w:spacing w:line="300" w:lineRule="exact"/>
              <w:jc w:val="right"/>
              <w:rPr>
                <w:rFonts w:ascii="Times New Roman" w:eastAsia="仿宋_GB2312" w:hAnsi="Times New Roman" w:cs="Times New Roman"/>
                <w:sz w:val="24"/>
              </w:rPr>
            </w:pPr>
            <w:r w:rsidRPr="00231FD8">
              <w:rPr>
                <w:rFonts w:ascii="Times New Roman" w:eastAsia="仿宋_GB2312" w:hAnsi="Times New Roman" w:cs="Times New Roman" w:hint="eastAsia"/>
                <w:sz w:val="24"/>
              </w:rPr>
              <w:t>单位：万元</w:t>
            </w:r>
          </w:p>
        </w:tc>
      </w:tr>
      <w:tr w:rsidR="001E1896" w:rsidTr="002A1E0D">
        <w:trPr>
          <w:trHeight w:val="227"/>
          <w:tblHeader/>
          <w:jc w:val="center"/>
        </w:trPr>
        <w:tc>
          <w:tcPr>
            <w:tcW w:w="2341" w:type="dxa"/>
            <w:vMerge w:val="restart"/>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职责活动</w:t>
            </w:r>
          </w:p>
        </w:tc>
        <w:tc>
          <w:tcPr>
            <w:tcW w:w="1276" w:type="dxa"/>
            <w:vMerge w:val="restart"/>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年度预算数</w:t>
            </w:r>
          </w:p>
        </w:tc>
        <w:tc>
          <w:tcPr>
            <w:tcW w:w="2976" w:type="dxa"/>
            <w:vMerge w:val="restart"/>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内容描述</w:t>
            </w:r>
          </w:p>
        </w:tc>
        <w:tc>
          <w:tcPr>
            <w:tcW w:w="2976" w:type="dxa"/>
            <w:vMerge w:val="restart"/>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绩效目标</w:t>
            </w:r>
          </w:p>
        </w:tc>
        <w:tc>
          <w:tcPr>
            <w:tcW w:w="1417" w:type="dxa"/>
            <w:vMerge w:val="restart"/>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绩效指标</w:t>
            </w:r>
          </w:p>
        </w:tc>
        <w:tc>
          <w:tcPr>
            <w:tcW w:w="2948" w:type="dxa"/>
            <w:gridSpan w:val="4"/>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评价标准</w:t>
            </w:r>
          </w:p>
        </w:tc>
      </w:tr>
      <w:tr w:rsidR="001E1896" w:rsidTr="002A1E0D">
        <w:trPr>
          <w:trHeight w:val="227"/>
          <w:tblHeader/>
          <w:jc w:val="center"/>
        </w:trPr>
        <w:tc>
          <w:tcPr>
            <w:tcW w:w="2341" w:type="dxa"/>
            <w:vMerge/>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p>
        </w:tc>
        <w:tc>
          <w:tcPr>
            <w:tcW w:w="1276" w:type="dxa"/>
            <w:vMerge/>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p>
        </w:tc>
        <w:tc>
          <w:tcPr>
            <w:tcW w:w="2976" w:type="dxa"/>
            <w:vMerge/>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p>
        </w:tc>
        <w:tc>
          <w:tcPr>
            <w:tcW w:w="2976" w:type="dxa"/>
            <w:vMerge/>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p>
        </w:tc>
        <w:tc>
          <w:tcPr>
            <w:tcW w:w="1417" w:type="dxa"/>
            <w:vMerge/>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p>
        </w:tc>
        <w:tc>
          <w:tcPr>
            <w:tcW w:w="737"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优</w:t>
            </w:r>
          </w:p>
        </w:tc>
        <w:tc>
          <w:tcPr>
            <w:tcW w:w="737"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良</w:t>
            </w:r>
          </w:p>
        </w:tc>
        <w:tc>
          <w:tcPr>
            <w:tcW w:w="737"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中</w:t>
            </w:r>
          </w:p>
        </w:tc>
        <w:tc>
          <w:tcPr>
            <w:tcW w:w="737"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差</w:t>
            </w:r>
          </w:p>
        </w:tc>
      </w:tr>
      <w:tr w:rsidR="001E1896" w:rsidTr="002A1E0D">
        <w:trPr>
          <w:trHeight w:val="227"/>
          <w:jc w:val="center"/>
        </w:trPr>
        <w:tc>
          <w:tcPr>
            <w:tcW w:w="2341"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一、园区规划建设</w:t>
            </w:r>
          </w:p>
        </w:tc>
        <w:tc>
          <w:tcPr>
            <w:tcW w:w="1276"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p>
        </w:tc>
        <w:tc>
          <w:tcPr>
            <w:tcW w:w="2976"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制定和落实园区发展规划，做好园区基础设施建设工作</w:t>
            </w:r>
          </w:p>
        </w:tc>
        <w:tc>
          <w:tcPr>
            <w:tcW w:w="2976"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按照县委、县政府的相关要求和红木产业发展规划，加强基础设施建设和维护工作，搭建产业发展平台，提高园区承载</w:t>
            </w:r>
            <w:r w:rsidRPr="004373ED">
              <w:rPr>
                <w:rFonts w:ascii="Times New Roman" w:eastAsia="仿宋_GB2312" w:hAnsi="Times New Roman" w:cs="Times New Roman" w:hint="eastAsia"/>
                <w:b/>
              </w:rPr>
              <w:lastRenderedPageBreak/>
              <w:t>能力，促进产业发展</w:t>
            </w:r>
          </w:p>
        </w:tc>
        <w:tc>
          <w:tcPr>
            <w:tcW w:w="1417"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p>
        </w:tc>
        <w:tc>
          <w:tcPr>
            <w:tcW w:w="737"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p>
        </w:tc>
        <w:tc>
          <w:tcPr>
            <w:tcW w:w="737"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p>
        </w:tc>
        <w:tc>
          <w:tcPr>
            <w:tcW w:w="737"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p>
        </w:tc>
        <w:tc>
          <w:tcPr>
            <w:tcW w:w="737"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p>
        </w:tc>
      </w:tr>
      <w:tr w:rsidR="001E1896" w:rsidTr="002A1E0D">
        <w:trPr>
          <w:trHeight w:val="227"/>
          <w:jc w:val="center"/>
        </w:trPr>
        <w:tc>
          <w:tcPr>
            <w:tcW w:w="2341"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lastRenderedPageBreak/>
              <w:t xml:space="preserve">　　</w:t>
            </w:r>
            <w:r w:rsidRPr="004373ED">
              <w:rPr>
                <w:rFonts w:ascii="Times New Roman" w:eastAsia="仿宋_GB2312" w:hAnsi="Times New Roman" w:cs="Times New Roman"/>
                <w:b/>
              </w:rPr>
              <w:t>1</w:t>
            </w:r>
            <w:r w:rsidRPr="004373ED">
              <w:rPr>
                <w:rFonts w:ascii="Times New Roman" w:eastAsia="仿宋_GB2312" w:hAnsi="Times New Roman" w:cs="Times New Roman" w:hint="eastAsia"/>
                <w:b/>
              </w:rPr>
              <w:t>、基础设施建设和维护</w:t>
            </w:r>
          </w:p>
        </w:tc>
        <w:tc>
          <w:tcPr>
            <w:tcW w:w="1276"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p>
        </w:tc>
        <w:tc>
          <w:tcPr>
            <w:tcW w:w="2976"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做好红木文化产业园道路、停车场、绿化带等市政基础设施建设和维护工作，完善园区功能</w:t>
            </w:r>
          </w:p>
        </w:tc>
        <w:tc>
          <w:tcPr>
            <w:tcW w:w="2976"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完善园区基础设施建设，维护其正常运行，满足园区建设和发展需求</w:t>
            </w:r>
          </w:p>
        </w:tc>
        <w:tc>
          <w:tcPr>
            <w:tcW w:w="1417"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基础设施建设完成率</w:t>
            </w:r>
          </w:p>
        </w:tc>
        <w:tc>
          <w:tcPr>
            <w:tcW w:w="737"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90%</w:t>
            </w:r>
          </w:p>
        </w:tc>
        <w:tc>
          <w:tcPr>
            <w:tcW w:w="737"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80%</w:t>
            </w:r>
          </w:p>
        </w:tc>
        <w:tc>
          <w:tcPr>
            <w:tcW w:w="737"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70%</w:t>
            </w:r>
          </w:p>
        </w:tc>
        <w:tc>
          <w:tcPr>
            <w:tcW w:w="737" w:type="dxa"/>
            <w:shd w:val="clear" w:color="auto" w:fill="auto"/>
            <w:vAlign w:val="center"/>
          </w:tcPr>
          <w:p w:rsidR="001E1896" w:rsidRPr="004373ED" w:rsidRDefault="001E1896" w:rsidP="004373E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b/>
              </w:rPr>
              <w:t>&lt;60%</w:t>
            </w:r>
          </w:p>
        </w:tc>
      </w:tr>
      <w:tr w:rsidR="001E1896" w:rsidTr="002A1E0D">
        <w:trPr>
          <w:trHeight w:val="227"/>
          <w:jc w:val="center"/>
        </w:trPr>
        <w:tc>
          <w:tcPr>
            <w:tcW w:w="2341"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二、发展红木文化产业</w:t>
            </w:r>
          </w:p>
        </w:tc>
        <w:tc>
          <w:tcPr>
            <w:tcW w:w="12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b/>
              </w:rPr>
              <w:t>85.00</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开展红木文化产业发展调查研究，制定红木文化发展规划，加大对外宣传力度，搭建电子商务平台，抓好园区项目招商工作</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规范行业发展秩序，引导行业转型升级，促进红木行业良性发展</w:t>
            </w:r>
          </w:p>
        </w:tc>
        <w:tc>
          <w:tcPr>
            <w:tcW w:w="1417"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p>
        </w:tc>
      </w:tr>
      <w:tr w:rsidR="001E1896" w:rsidTr="002A1E0D">
        <w:trPr>
          <w:trHeight w:val="227"/>
          <w:jc w:val="center"/>
        </w:trPr>
        <w:tc>
          <w:tcPr>
            <w:tcW w:w="2341"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 xml:space="preserve">　　</w:t>
            </w:r>
            <w:r w:rsidRPr="004373ED">
              <w:rPr>
                <w:rFonts w:ascii="Times New Roman" w:eastAsia="仿宋_GB2312" w:hAnsi="Times New Roman" w:cs="Times New Roman"/>
                <w:b/>
              </w:rPr>
              <w:t>1</w:t>
            </w:r>
            <w:r w:rsidRPr="004373ED">
              <w:rPr>
                <w:rFonts w:ascii="Times New Roman" w:eastAsia="仿宋_GB2312" w:hAnsi="Times New Roman" w:cs="Times New Roman" w:hint="eastAsia"/>
                <w:b/>
              </w:rPr>
              <w:t>、发展电子商务</w:t>
            </w:r>
          </w:p>
        </w:tc>
        <w:tc>
          <w:tcPr>
            <w:tcW w:w="12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b/>
              </w:rPr>
              <w:t>45.00</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引导企业发展电子商务，拓宽经营渠道，利用网络优势，大力进行红木文化网络宣传，提高大城红木知名度</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提高大城红木网络覆盖面和知名度</w:t>
            </w:r>
          </w:p>
        </w:tc>
        <w:tc>
          <w:tcPr>
            <w:tcW w:w="1417"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大城红木网络话题数量</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20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15</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10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b/>
              </w:rPr>
              <w:t>&lt;10</w:t>
            </w:r>
          </w:p>
        </w:tc>
      </w:tr>
      <w:tr w:rsidR="001E1896" w:rsidTr="002A1E0D">
        <w:trPr>
          <w:trHeight w:val="227"/>
          <w:jc w:val="center"/>
        </w:trPr>
        <w:tc>
          <w:tcPr>
            <w:tcW w:w="2341"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 xml:space="preserve">　　</w:t>
            </w:r>
            <w:r w:rsidRPr="004373ED">
              <w:rPr>
                <w:rFonts w:ascii="Times New Roman" w:eastAsia="仿宋_GB2312" w:hAnsi="Times New Roman" w:cs="Times New Roman"/>
                <w:b/>
              </w:rPr>
              <w:t>2</w:t>
            </w:r>
            <w:r w:rsidRPr="004373ED">
              <w:rPr>
                <w:rFonts w:ascii="Times New Roman" w:eastAsia="仿宋_GB2312" w:hAnsi="Times New Roman" w:cs="Times New Roman" w:hint="eastAsia"/>
                <w:b/>
              </w:rPr>
              <w:t>、红木文化对外宣传</w:t>
            </w:r>
          </w:p>
        </w:tc>
        <w:tc>
          <w:tcPr>
            <w:tcW w:w="12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加大宣传工作力度，经常性地组织各类红木文化宣传活动，提升大城红木文化产业的知名度和影响力</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通过组织红木文化节、交流推介会等形式，促进大城红木产业的对外沟通和交流，有效提高大城京作的知名度、美誉度和影响力</w:t>
            </w:r>
          </w:p>
        </w:tc>
        <w:tc>
          <w:tcPr>
            <w:tcW w:w="1417"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各类活动的开展次数、各类新闻媒体的宣传次数</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6</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4</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3</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b/>
              </w:rPr>
              <w:t>&lt;2</w:t>
            </w:r>
          </w:p>
        </w:tc>
      </w:tr>
      <w:tr w:rsidR="001E1896" w:rsidTr="002A1E0D">
        <w:trPr>
          <w:trHeight w:val="227"/>
          <w:jc w:val="center"/>
        </w:trPr>
        <w:tc>
          <w:tcPr>
            <w:tcW w:w="2341"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 xml:space="preserve">　　</w:t>
            </w:r>
            <w:r w:rsidRPr="004373ED">
              <w:rPr>
                <w:rFonts w:ascii="Times New Roman" w:eastAsia="仿宋_GB2312" w:hAnsi="Times New Roman" w:cs="Times New Roman"/>
                <w:b/>
              </w:rPr>
              <w:t>3</w:t>
            </w:r>
            <w:r w:rsidRPr="004373ED">
              <w:rPr>
                <w:rFonts w:ascii="Times New Roman" w:eastAsia="仿宋_GB2312" w:hAnsi="Times New Roman" w:cs="Times New Roman" w:hint="eastAsia"/>
                <w:b/>
              </w:rPr>
              <w:t>、园区招商</w:t>
            </w:r>
          </w:p>
        </w:tc>
        <w:tc>
          <w:tcPr>
            <w:tcW w:w="12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b/>
              </w:rPr>
              <w:t>40.00</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立足京津冀一体化，积极组织和参加各种招商、交流、推介活动，促进园区招商工作的开展</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通过举办各类招商会、推介会等活动，吸引投资，扩大产业规模，促进产业发展</w:t>
            </w:r>
          </w:p>
        </w:tc>
        <w:tc>
          <w:tcPr>
            <w:tcW w:w="1417"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参加、举办活动数量</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6</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4</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3</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b/>
              </w:rPr>
              <w:t>&lt;2</w:t>
            </w:r>
          </w:p>
        </w:tc>
      </w:tr>
      <w:tr w:rsidR="001E1896" w:rsidTr="002A1E0D">
        <w:trPr>
          <w:trHeight w:val="227"/>
          <w:jc w:val="center"/>
        </w:trPr>
        <w:tc>
          <w:tcPr>
            <w:tcW w:w="2341"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三、发展红木文化旅游</w:t>
            </w:r>
          </w:p>
        </w:tc>
        <w:tc>
          <w:tcPr>
            <w:tcW w:w="12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b/>
              </w:rPr>
              <w:t>20.00</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制定红木文化旅游发展规划，打造中国红木城文化旅游景区，加强和完善景区设施建设，做好红木文化旅游市场开发</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通过红木文化旅游市场开发推广，吸引更多游客来我县旅游，有效提高大城县红木文化旅游的知名度、美誉度和影响力，带动我县红木文化产业和旅游服务业的健康快速发展</w:t>
            </w:r>
          </w:p>
        </w:tc>
        <w:tc>
          <w:tcPr>
            <w:tcW w:w="1417"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p>
        </w:tc>
      </w:tr>
      <w:tr w:rsidR="001E1896" w:rsidTr="002A1E0D">
        <w:trPr>
          <w:trHeight w:val="227"/>
          <w:jc w:val="center"/>
        </w:trPr>
        <w:tc>
          <w:tcPr>
            <w:tcW w:w="2341"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lastRenderedPageBreak/>
              <w:t xml:space="preserve">　　</w:t>
            </w:r>
            <w:r w:rsidRPr="004373ED">
              <w:rPr>
                <w:rFonts w:ascii="Times New Roman" w:eastAsia="仿宋_GB2312" w:hAnsi="Times New Roman" w:cs="Times New Roman"/>
                <w:b/>
              </w:rPr>
              <w:t>1</w:t>
            </w:r>
            <w:r w:rsidRPr="004373ED">
              <w:rPr>
                <w:rFonts w:ascii="Times New Roman" w:eastAsia="仿宋_GB2312" w:hAnsi="Times New Roman" w:cs="Times New Roman" w:hint="eastAsia"/>
                <w:b/>
              </w:rPr>
              <w:t>、旅游区功能建设</w:t>
            </w:r>
          </w:p>
        </w:tc>
        <w:tc>
          <w:tcPr>
            <w:tcW w:w="12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完善中国红木城游客中心、旅游厕所、指示牌等配套设施建设，提高旅游区承载能力</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不断完善基础设施，增加特色旅游景点，提高旅游区承载能力</w:t>
            </w:r>
          </w:p>
        </w:tc>
        <w:tc>
          <w:tcPr>
            <w:tcW w:w="1417"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配套设施建设完成率</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90%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80%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70%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b/>
              </w:rPr>
              <w:t>&lt;60%</w:t>
            </w:r>
          </w:p>
        </w:tc>
      </w:tr>
      <w:tr w:rsidR="001E1896" w:rsidTr="002A1E0D">
        <w:trPr>
          <w:trHeight w:val="227"/>
          <w:jc w:val="center"/>
        </w:trPr>
        <w:tc>
          <w:tcPr>
            <w:tcW w:w="2341"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 xml:space="preserve">　　</w:t>
            </w:r>
            <w:r w:rsidRPr="004373ED">
              <w:rPr>
                <w:rFonts w:ascii="Times New Roman" w:eastAsia="仿宋_GB2312" w:hAnsi="Times New Roman" w:cs="Times New Roman"/>
                <w:b/>
              </w:rPr>
              <w:t>2</w:t>
            </w:r>
            <w:r w:rsidRPr="004373ED">
              <w:rPr>
                <w:rFonts w:ascii="Times New Roman" w:eastAsia="仿宋_GB2312" w:hAnsi="Times New Roman" w:cs="Times New Roman" w:hint="eastAsia"/>
                <w:b/>
              </w:rPr>
              <w:t>、景区申报</w:t>
            </w:r>
          </w:p>
        </w:tc>
        <w:tc>
          <w:tcPr>
            <w:tcW w:w="12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b/>
              </w:rPr>
              <w:t>10.00</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全力做好景区申报工作，打造特色精品旅游线路，提高景区知名度。</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通过景区申报工作，有效提升景区品质，促进景区开发建设，吸引更多游客</w:t>
            </w:r>
          </w:p>
        </w:tc>
        <w:tc>
          <w:tcPr>
            <w:tcW w:w="1417"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景区申报完成率</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90%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80%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70%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b/>
              </w:rPr>
              <w:t>&lt;60%</w:t>
            </w:r>
          </w:p>
        </w:tc>
      </w:tr>
      <w:tr w:rsidR="001E1896" w:rsidTr="002A1E0D">
        <w:trPr>
          <w:trHeight w:val="227"/>
          <w:jc w:val="center"/>
        </w:trPr>
        <w:tc>
          <w:tcPr>
            <w:tcW w:w="2341"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 xml:space="preserve">　　</w:t>
            </w:r>
            <w:r w:rsidRPr="004373ED">
              <w:rPr>
                <w:rFonts w:ascii="Times New Roman" w:eastAsia="仿宋_GB2312" w:hAnsi="Times New Roman" w:cs="Times New Roman"/>
                <w:b/>
              </w:rPr>
              <w:t>3</w:t>
            </w:r>
            <w:r w:rsidRPr="004373ED">
              <w:rPr>
                <w:rFonts w:ascii="Times New Roman" w:eastAsia="仿宋_GB2312" w:hAnsi="Times New Roman" w:cs="Times New Roman" w:hint="eastAsia"/>
                <w:b/>
              </w:rPr>
              <w:t>、景区推介</w:t>
            </w:r>
          </w:p>
        </w:tc>
        <w:tc>
          <w:tcPr>
            <w:tcW w:w="12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组织各种交流推介活动，运用各种推介手段，提高红木城景区对外影响力。</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通过组织一系列交流推介活动，有效提高红木城景区知名度和美誉度，吸引更多游客</w:t>
            </w:r>
          </w:p>
        </w:tc>
        <w:tc>
          <w:tcPr>
            <w:tcW w:w="1417"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对外交流推介活动开展次数</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6</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4</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3</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b/>
              </w:rPr>
              <w:t>&lt;2</w:t>
            </w:r>
          </w:p>
        </w:tc>
      </w:tr>
      <w:tr w:rsidR="001E1896" w:rsidTr="002A1E0D">
        <w:trPr>
          <w:trHeight w:val="227"/>
          <w:jc w:val="center"/>
        </w:trPr>
        <w:tc>
          <w:tcPr>
            <w:tcW w:w="2341"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 xml:space="preserve">　　</w:t>
            </w:r>
            <w:r w:rsidRPr="004373ED">
              <w:rPr>
                <w:rFonts w:ascii="Times New Roman" w:eastAsia="仿宋_GB2312" w:hAnsi="Times New Roman" w:cs="Times New Roman"/>
                <w:b/>
              </w:rPr>
              <w:t>4</w:t>
            </w:r>
            <w:r w:rsidRPr="004373ED">
              <w:rPr>
                <w:rFonts w:ascii="Times New Roman" w:eastAsia="仿宋_GB2312" w:hAnsi="Times New Roman" w:cs="Times New Roman" w:hint="eastAsia"/>
                <w:b/>
              </w:rPr>
              <w:t>、特色小镇建设</w:t>
            </w:r>
          </w:p>
        </w:tc>
        <w:tc>
          <w:tcPr>
            <w:tcW w:w="12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b/>
              </w:rPr>
              <w:t>10.00</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做好宫廷木艺文化小镇的规划设计、申报、宣传推介等工作，组织开展交流活动，邀请相关专家进行指导</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通过开展宫廷木艺文化小镇的规划设计、申报、宣传推介、组织活动等工作，推动特色小镇的加快建设工作</w:t>
            </w:r>
          </w:p>
        </w:tc>
        <w:tc>
          <w:tcPr>
            <w:tcW w:w="1417"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特色小镇建设完成率</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90%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80%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70%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b/>
              </w:rPr>
              <w:t>&lt;60%</w:t>
            </w:r>
          </w:p>
        </w:tc>
      </w:tr>
      <w:tr w:rsidR="001E1896" w:rsidTr="002A1E0D">
        <w:trPr>
          <w:trHeight w:val="227"/>
          <w:jc w:val="center"/>
        </w:trPr>
        <w:tc>
          <w:tcPr>
            <w:tcW w:w="2341"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四、园区政务管理</w:t>
            </w:r>
          </w:p>
        </w:tc>
        <w:tc>
          <w:tcPr>
            <w:tcW w:w="12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b/>
              </w:rPr>
              <w:t>69.00</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加强和完善红木市场管理体系，规范市场秩序，开展诚信经营，促进红木文化产业上档升级和健康发展</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统筹协调相关部门工作，完善园区管理体系，提高管理和服务水平，促进红木文化产业和红木市场的健康发展</w:t>
            </w:r>
          </w:p>
        </w:tc>
        <w:tc>
          <w:tcPr>
            <w:tcW w:w="1417"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p>
        </w:tc>
      </w:tr>
      <w:tr w:rsidR="001E1896" w:rsidTr="002A1E0D">
        <w:trPr>
          <w:trHeight w:val="227"/>
          <w:jc w:val="center"/>
        </w:trPr>
        <w:tc>
          <w:tcPr>
            <w:tcW w:w="2341"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 xml:space="preserve">　　</w:t>
            </w:r>
            <w:r w:rsidRPr="004373ED">
              <w:rPr>
                <w:rFonts w:ascii="Times New Roman" w:eastAsia="仿宋_GB2312" w:hAnsi="Times New Roman" w:cs="Times New Roman"/>
                <w:b/>
              </w:rPr>
              <w:t>1</w:t>
            </w:r>
            <w:r w:rsidRPr="004373ED">
              <w:rPr>
                <w:rFonts w:ascii="Times New Roman" w:eastAsia="仿宋_GB2312" w:hAnsi="Times New Roman" w:cs="Times New Roman" w:hint="eastAsia"/>
                <w:b/>
              </w:rPr>
              <w:t>、机关事务管理</w:t>
            </w:r>
          </w:p>
        </w:tc>
        <w:tc>
          <w:tcPr>
            <w:tcW w:w="12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b/>
              </w:rPr>
              <w:t>19.00</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做好参观接待，会务组织，财务和资产管理，标准化建设，设施维护，设备购置，档案管理，后勤保障等工作</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保障机关正常工作高效运转</w:t>
            </w:r>
          </w:p>
        </w:tc>
        <w:tc>
          <w:tcPr>
            <w:tcW w:w="1417"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机关事务保障率</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90%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80%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70%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b/>
              </w:rPr>
              <w:t>&lt;60%</w:t>
            </w:r>
          </w:p>
        </w:tc>
      </w:tr>
      <w:tr w:rsidR="001E1896" w:rsidTr="002A1E0D">
        <w:trPr>
          <w:trHeight w:val="227"/>
          <w:jc w:val="center"/>
        </w:trPr>
        <w:tc>
          <w:tcPr>
            <w:tcW w:w="2341"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 xml:space="preserve">　　</w:t>
            </w:r>
            <w:r w:rsidRPr="004373ED">
              <w:rPr>
                <w:rFonts w:ascii="Times New Roman" w:eastAsia="仿宋_GB2312" w:hAnsi="Times New Roman" w:cs="Times New Roman"/>
                <w:b/>
              </w:rPr>
              <w:t>2</w:t>
            </w:r>
            <w:r w:rsidRPr="004373ED">
              <w:rPr>
                <w:rFonts w:ascii="Times New Roman" w:eastAsia="仿宋_GB2312" w:hAnsi="Times New Roman" w:cs="Times New Roman" w:hint="eastAsia"/>
                <w:b/>
              </w:rPr>
              <w:t>、中国红木城综合服务中心运营和维护</w:t>
            </w:r>
          </w:p>
        </w:tc>
        <w:tc>
          <w:tcPr>
            <w:tcW w:w="12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协调各职能部门，完善中国红木城综合服务中心建设</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通过提高管理和服务水平，促进中国红木城、红木大集的规范化管理，促进红木市场的健康良性循环</w:t>
            </w:r>
          </w:p>
        </w:tc>
        <w:tc>
          <w:tcPr>
            <w:tcW w:w="1417"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机关事务保障率</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90%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80%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70%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b/>
              </w:rPr>
              <w:t>&lt;60%</w:t>
            </w:r>
          </w:p>
        </w:tc>
      </w:tr>
      <w:tr w:rsidR="001E1896" w:rsidTr="002A1E0D">
        <w:trPr>
          <w:trHeight w:val="227"/>
          <w:jc w:val="center"/>
        </w:trPr>
        <w:tc>
          <w:tcPr>
            <w:tcW w:w="2341"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 xml:space="preserve">　　</w:t>
            </w:r>
            <w:r w:rsidRPr="004373ED">
              <w:rPr>
                <w:rFonts w:ascii="Times New Roman" w:eastAsia="仿宋_GB2312" w:hAnsi="Times New Roman" w:cs="Times New Roman"/>
                <w:b/>
              </w:rPr>
              <w:t>3</w:t>
            </w:r>
            <w:r w:rsidRPr="004373ED">
              <w:rPr>
                <w:rFonts w:ascii="Times New Roman" w:eastAsia="仿宋_GB2312" w:hAnsi="Times New Roman" w:cs="Times New Roman" w:hint="eastAsia"/>
                <w:b/>
              </w:rPr>
              <w:t>、大城县红木检测中心和红木光谱检测实验室建设与运营</w:t>
            </w:r>
          </w:p>
        </w:tc>
        <w:tc>
          <w:tcPr>
            <w:tcW w:w="12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b/>
              </w:rPr>
              <w:t>50.00</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完善大城县红木检测中心和红木光谱检测实验室建设，充分发挥职能作用，规范和引导大城红木家具市场健康发展</w:t>
            </w:r>
          </w:p>
        </w:tc>
        <w:tc>
          <w:tcPr>
            <w:tcW w:w="2976"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保障检测中心及实验室正常工作高效运转</w:t>
            </w:r>
          </w:p>
        </w:tc>
        <w:tc>
          <w:tcPr>
            <w:tcW w:w="1417" w:type="dxa"/>
            <w:shd w:val="clear" w:color="auto" w:fill="auto"/>
            <w:vAlign w:val="center"/>
          </w:tcPr>
          <w:p w:rsidR="001E1896" w:rsidRPr="004373ED" w:rsidRDefault="001E1896" w:rsidP="002A1E0D">
            <w:pPr>
              <w:spacing w:line="300" w:lineRule="exact"/>
              <w:jc w:val="left"/>
              <w:rPr>
                <w:rFonts w:ascii="Times New Roman" w:eastAsia="仿宋_GB2312" w:hAnsi="Times New Roman" w:cs="Times New Roman"/>
                <w:b/>
              </w:rPr>
            </w:pPr>
            <w:r w:rsidRPr="004373ED">
              <w:rPr>
                <w:rFonts w:ascii="Times New Roman" w:eastAsia="仿宋_GB2312" w:hAnsi="Times New Roman" w:cs="Times New Roman" w:hint="eastAsia"/>
                <w:b/>
              </w:rPr>
              <w:t>机关事务保障率</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90%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80%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hint="eastAsia"/>
                <w:b/>
              </w:rPr>
              <w:t>≥</w:t>
            </w:r>
            <w:r w:rsidRPr="004373ED">
              <w:rPr>
                <w:rFonts w:ascii="Times New Roman" w:eastAsia="仿宋_GB2312" w:hAnsi="Times New Roman" w:cs="Times New Roman"/>
                <w:b/>
              </w:rPr>
              <w:t>70%</w:t>
            </w:r>
          </w:p>
        </w:tc>
        <w:tc>
          <w:tcPr>
            <w:tcW w:w="737" w:type="dxa"/>
            <w:shd w:val="clear" w:color="auto" w:fill="auto"/>
            <w:vAlign w:val="center"/>
          </w:tcPr>
          <w:p w:rsidR="001E1896" w:rsidRPr="004373ED" w:rsidRDefault="001E1896" w:rsidP="002A1E0D">
            <w:pPr>
              <w:spacing w:line="300" w:lineRule="exact"/>
              <w:jc w:val="center"/>
              <w:rPr>
                <w:rFonts w:ascii="Times New Roman" w:eastAsia="仿宋_GB2312" w:hAnsi="Times New Roman" w:cs="Times New Roman"/>
                <w:b/>
              </w:rPr>
            </w:pPr>
            <w:r w:rsidRPr="004373ED">
              <w:rPr>
                <w:rFonts w:ascii="Times New Roman" w:eastAsia="仿宋_GB2312" w:hAnsi="Times New Roman" w:cs="Times New Roman"/>
                <w:b/>
              </w:rPr>
              <w:t>&lt;60%</w:t>
            </w:r>
          </w:p>
        </w:tc>
      </w:tr>
    </w:tbl>
    <w:p w:rsidR="001E1896" w:rsidRDefault="001E1896" w:rsidP="001E1896">
      <w:pPr>
        <w:spacing w:line="300" w:lineRule="exact"/>
        <w:jc w:val="left"/>
        <w:outlineLvl w:val="0"/>
        <w:sectPr w:rsidR="001E1896" w:rsidSect="00833942">
          <w:pgSz w:w="16839" w:h="11907" w:orient="landscape"/>
          <w:pgMar w:top="1020" w:right="1361" w:bottom="1020" w:left="1361" w:header="851" w:footer="992" w:gutter="0"/>
          <w:cols w:space="425"/>
          <w:docGrid w:type="lines" w:linePitch="312"/>
        </w:sectPr>
      </w:pPr>
    </w:p>
    <w:bookmarkEnd w:id="1"/>
    <w:p w:rsidR="00CA2BB5" w:rsidRDefault="001649B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六、政府采购预算情况</w:t>
      </w:r>
    </w:p>
    <w:p w:rsidR="00CA2BB5" w:rsidRDefault="001649B7">
      <w:pPr>
        <w:spacing w:line="584" w:lineRule="exact"/>
        <w:ind w:firstLineChars="200" w:firstLine="640"/>
        <w:outlineLvl w:val="0"/>
        <w:rPr>
          <w:rFonts w:ascii="Times New Roman" w:eastAsia="仿宋_GB2312" w:hAnsi="Times New Roman" w:cs="Times New Roman"/>
          <w:sz w:val="32"/>
          <w:szCs w:val="24"/>
        </w:rPr>
      </w:pPr>
      <w:bookmarkStart w:id="3" w:name="_Toc471398468"/>
      <w:r>
        <w:rPr>
          <w:rFonts w:ascii="Times New Roman" w:eastAsia="仿宋_GB2312" w:hAnsi="Times New Roman" w:cs="Times New Roman"/>
          <w:sz w:val="32"/>
          <w:szCs w:val="24"/>
        </w:rPr>
        <w:t>201</w:t>
      </w:r>
      <w:r>
        <w:rPr>
          <w:rFonts w:ascii="Times New Roman" w:eastAsia="仿宋_GB2312" w:hAnsi="Times New Roman" w:cs="Times New Roman" w:hint="eastAsia"/>
          <w:sz w:val="32"/>
          <w:szCs w:val="24"/>
        </w:rPr>
        <w:t>9</w:t>
      </w:r>
      <w:r w:rsidR="00A243E6">
        <w:rPr>
          <w:rFonts w:ascii="Times New Roman" w:eastAsia="仿宋_GB2312" w:hAnsi="Times New Roman" w:cs="Times New Roman"/>
          <w:sz w:val="32"/>
          <w:szCs w:val="24"/>
        </w:rPr>
        <w:t>年，</w:t>
      </w:r>
      <w:proofErr w:type="gramStart"/>
      <w:r w:rsidR="00A243E6">
        <w:rPr>
          <w:rFonts w:ascii="Times New Roman" w:eastAsia="仿宋_GB2312" w:hAnsi="Times New Roman" w:cs="Times New Roman"/>
          <w:sz w:val="32"/>
          <w:szCs w:val="24"/>
        </w:rPr>
        <w:t>我部门</w:t>
      </w:r>
      <w:proofErr w:type="gramEnd"/>
      <w:r w:rsidR="00A243E6">
        <w:rPr>
          <w:rFonts w:ascii="Times New Roman" w:eastAsia="仿宋_GB2312" w:hAnsi="Times New Roman" w:cs="Times New Roman"/>
          <w:sz w:val="32"/>
          <w:szCs w:val="24"/>
        </w:rPr>
        <w:t>安排政府采购预算</w:t>
      </w:r>
      <w:r w:rsidR="00A243E6">
        <w:rPr>
          <w:rFonts w:ascii="Times New Roman" w:eastAsia="仿宋_GB2312" w:hAnsi="Times New Roman" w:cs="Times New Roman" w:hint="eastAsia"/>
          <w:sz w:val="32"/>
          <w:szCs w:val="24"/>
        </w:rPr>
        <w:t>50.30</w:t>
      </w:r>
      <w:r>
        <w:rPr>
          <w:rFonts w:ascii="Times New Roman" w:eastAsia="仿宋_GB2312" w:hAnsi="Times New Roman" w:cs="Times New Roman"/>
          <w:sz w:val="32"/>
          <w:szCs w:val="24"/>
        </w:rPr>
        <w:t>万元。具体内容见下表。</w:t>
      </w:r>
    </w:p>
    <w:p w:rsidR="00A243E6" w:rsidRPr="00A243E6" w:rsidRDefault="00A243E6" w:rsidP="00A243E6">
      <w:pPr>
        <w:spacing w:line="584" w:lineRule="exact"/>
        <w:jc w:val="center"/>
        <w:outlineLvl w:val="0"/>
        <w:rPr>
          <w:rFonts w:ascii="Times New Roman" w:eastAsia="仿宋_GB2312" w:hAnsi="Times New Roman" w:cs="Times New Roman"/>
          <w:sz w:val="32"/>
        </w:rPr>
      </w:pPr>
      <w:bookmarkStart w:id="4" w:name="_Toc2081040"/>
      <w:r w:rsidRPr="00A243E6">
        <w:rPr>
          <w:rFonts w:ascii="Times New Roman" w:eastAsia="仿宋_GB2312" w:hAnsi="Times New Roman" w:cs="Times New Roman" w:hint="eastAsia"/>
          <w:sz w:val="32"/>
        </w:rPr>
        <w:t>部门政府采购预算</w:t>
      </w:r>
      <w:bookmarkEnd w:id="4"/>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30"/>
        <w:gridCol w:w="1081"/>
        <w:gridCol w:w="956"/>
        <w:gridCol w:w="1208"/>
        <w:gridCol w:w="743"/>
        <w:gridCol w:w="743"/>
        <w:gridCol w:w="831"/>
        <w:gridCol w:w="944"/>
        <w:gridCol w:w="944"/>
        <w:gridCol w:w="944"/>
        <w:gridCol w:w="944"/>
        <w:gridCol w:w="947"/>
        <w:gridCol w:w="948"/>
        <w:gridCol w:w="905"/>
      </w:tblGrid>
      <w:tr w:rsidR="00A243E6" w:rsidTr="002A1E0D">
        <w:trPr>
          <w:tblHeader/>
          <w:jc w:val="center"/>
        </w:trPr>
        <w:tc>
          <w:tcPr>
            <w:tcW w:w="2702" w:type="pct"/>
            <w:gridSpan w:val="7"/>
            <w:tcBorders>
              <w:top w:val="single" w:sz="6" w:space="0" w:color="FFFFFF"/>
              <w:left w:val="single" w:sz="6" w:space="0" w:color="FFFFFF"/>
              <w:right w:val="single" w:sz="6" w:space="0" w:color="FFFFFF"/>
            </w:tcBorders>
            <w:shd w:val="clear" w:color="auto" w:fill="auto"/>
            <w:vAlign w:val="center"/>
          </w:tcPr>
          <w:p w:rsidR="00A243E6" w:rsidRPr="00C634E8" w:rsidRDefault="00A243E6" w:rsidP="00A243E6">
            <w:pPr>
              <w:spacing w:line="584" w:lineRule="exact"/>
              <w:jc w:val="left"/>
              <w:rPr>
                <w:rFonts w:ascii="方正小标宋_GBK" w:eastAsia="方正小标宋_GBK"/>
                <w:sz w:val="24"/>
              </w:rPr>
            </w:pPr>
            <w:r w:rsidRPr="00A243E6">
              <w:rPr>
                <w:rFonts w:ascii="Times New Roman" w:eastAsia="仿宋_GB2312" w:hAnsi="Times New Roman" w:cs="Times New Roman"/>
                <w:sz w:val="24"/>
              </w:rPr>
              <w:t>437</w:t>
            </w:r>
            <w:r w:rsidRPr="00A243E6">
              <w:rPr>
                <w:rFonts w:ascii="Times New Roman" w:eastAsia="仿宋_GB2312" w:hAnsi="Times New Roman" w:cs="Times New Roman" w:hint="eastAsia"/>
                <w:sz w:val="24"/>
              </w:rPr>
              <w:t>大城红木文化产业园管理办公室</w:t>
            </w:r>
            <w:r w:rsidR="00231FD8">
              <w:rPr>
                <w:rFonts w:ascii="Times New Roman" w:eastAsia="仿宋_GB2312" w:hAnsi="Times New Roman" w:cs="Times New Roman" w:hint="eastAsia"/>
                <w:sz w:val="24"/>
              </w:rPr>
              <w:t xml:space="preserve">                                                                                                            </w:t>
            </w:r>
          </w:p>
        </w:tc>
        <w:tc>
          <w:tcPr>
            <w:tcW w:w="2298" w:type="pct"/>
            <w:gridSpan w:val="7"/>
            <w:tcBorders>
              <w:top w:val="single" w:sz="6" w:space="0" w:color="FFFFFF"/>
              <w:left w:val="single" w:sz="6" w:space="0" w:color="FFFFFF"/>
              <w:right w:val="single" w:sz="6" w:space="0" w:color="FFFFFF"/>
            </w:tcBorders>
            <w:shd w:val="clear" w:color="auto" w:fill="auto"/>
            <w:vAlign w:val="center"/>
          </w:tcPr>
          <w:p w:rsidR="00A243E6" w:rsidRPr="00A243E6" w:rsidRDefault="00A243E6" w:rsidP="002A1E0D">
            <w:pPr>
              <w:spacing w:line="300" w:lineRule="exact"/>
              <w:jc w:val="right"/>
              <w:rPr>
                <w:rFonts w:ascii="Times New Roman" w:eastAsia="仿宋_GB2312" w:hAnsi="Times New Roman" w:cs="Times New Roman"/>
                <w:sz w:val="24"/>
              </w:rPr>
            </w:pPr>
            <w:r w:rsidRPr="00A243E6">
              <w:rPr>
                <w:rFonts w:ascii="Times New Roman" w:eastAsia="仿宋_GB2312" w:hAnsi="Times New Roman" w:cs="Times New Roman" w:hint="eastAsia"/>
                <w:sz w:val="24"/>
              </w:rPr>
              <w:t>单位：万元</w:t>
            </w:r>
          </w:p>
        </w:tc>
      </w:tr>
      <w:tr w:rsidR="00A243E6" w:rsidTr="002A1E0D">
        <w:trPr>
          <w:tblHeader/>
          <w:jc w:val="center"/>
        </w:trPr>
        <w:tc>
          <w:tcPr>
            <w:tcW w:w="1217" w:type="pct"/>
            <w:gridSpan w:val="2"/>
            <w:shd w:val="clear" w:color="auto" w:fill="auto"/>
            <w:vAlign w:val="center"/>
          </w:tcPr>
          <w:p w:rsidR="00A243E6" w:rsidRPr="003E553B" w:rsidRDefault="00A243E6" w:rsidP="002A1E0D">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政府采购项目来源</w:t>
            </w:r>
          </w:p>
        </w:tc>
        <w:tc>
          <w:tcPr>
            <w:tcW w:w="334" w:type="pct"/>
            <w:vMerge w:val="restart"/>
            <w:shd w:val="clear" w:color="auto" w:fill="auto"/>
            <w:vAlign w:val="center"/>
          </w:tcPr>
          <w:p w:rsidR="00A243E6" w:rsidRPr="003E553B" w:rsidRDefault="00A243E6" w:rsidP="002A1E0D">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采购物品名称</w:t>
            </w:r>
          </w:p>
        </w:tc>
        <w:tc>
          <w:tcPr>
            <w:tcW w:w="338" w:type="pct"/>
            <w:vMerge w:val="restart"/>
            <w:shd w:val="clear" w:color="auto" w:fill="auto"/>
            <w:vAlign w:val="center"/>
          </w:tcPr>
          <w:p w:rsidR="00A243E6" w:rsidRPr="003E553B" w:rsidRDefault="00A243E6" w:rsidP="002A1E0D">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政府采购目录序号</w:t>
            </w:r>
          </w:p>
        </w:tc>
        <w:tc>
          <w:tcPr>
            <w:tcW w:w="261" w:type="pct"/>
            <w:vMerge w:val="restart"/>
            <w:shd w:val="clear" w:color="auto" w:fill="auto"/>
            <w:vAlign w:val="center"/>
          </w:tcPr>
          <w:p w:rsidR="00A243E6" w:rsidRPr="003E553B" w:rsidRDefault="00A243E6" w:rsidP="002A1E0D">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数量</w:t>
            </w:r>
            <w:r w:rsidRPr="003E553B">
              <w:rPr>
                <w:rFonts w:ascii="Times New Roman" w:eastAsia="仿宋_GB2312" w:hAnsi="Times New Roman" w:cs="Times New Roman"/>
                <w:b/>
              </w:rPr>
              <w:t xml:space="preserve">  </w:t>
            </w:r>
            <w:r w:rsidRPr="003E553B">
              <w:rPr>
                <w:rFonts w:ascii="Times New Roman" w:eastAsia="仿宋_GB2312" w:hAnsi="Times New Roman" w:cs="Times New Roman" w:hint="eastAsia"/>
                <w:b/>
              </w:rPr>
              <w:t>单位</w:t>
            </w:r>
          </w:p>
        </w:tc>
        <w:tc>
          <w:tcPr>
            <w:tcW w:w="261" w:type="pct"/>
            <w:vMerge w:val="restart"/>
            <w:shd w:val="clear" w:color="auto" w:fill="auto"/>
            <w:vAlign w:val="center"/>
          </w:tcPr>
          <w:p w:rsidR="00A243E6" w:rsidRPr="003E553B" w:rsidRDefault="00A243E6" w:rsidP="002A1E0D">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数量</w:t>
            </w:r>
          </w:p>
        </w:tc>
        <w:tc>
          <w:tcPr>
            <w:tcW w:w="290" w:type="pct"/>
            <w:vMerge w:val="restart"/>
            <w:shd w:val="clear" w:color="auto" w:fill="auto"/>
            <w:vAlign w:val="center"/>
          </w:tcPr>
          <w:p w:rsidR="00A243E6" w:rsidRPr="003E553B" w:rsidRDefault="00A243E6" w:rsidP="002A1E0D">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单价</w:t>
            </w:r>
          </w:p>
        </w:tc>
        <w:tc>
          <w:tcPr>
            <w:tcW w:w="2298" w:type="pct"/>
            <w:gridSpan w:val="7"/>
            <w:shd w:val="clear" w:color="auto" w:fill="auto"/>
            <w:vAlign w:val="center"/>
          </w:tcPr>
          <w:p w:rsidR="00A243E6" w:rsidRPr="003E553B" w:rsidRDefault="00A243E6" w:rsidP="002A1E0D">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政府采购金额</w:t>
            </w:r>
          </w:p>
        </w:tc>
      </w:tr>
      <w:tr w:rsidR="00A243E6" w:rsidTr="002A1E0D">
        <w:trPr>
          <w:tblHeader/>
          <w:jc w:val="center"/>
        </w:trPr>
        <w:tc>
          <w:tcPr>
            <w:tcW w:w="840" w:type="pct"/>
            <w:vMerge w:val="restart"/>
            <w:shd w:val="clear" w:color="auto" w:fill="auto"/>
            <w:vAlign w:val="center"/>
          </w:tcPr>
          <w:p w:rsidR="00A243E6" w:rsidRPr="003E553B" w:rsidRDefault="00A243E6" w:rsidP="002A1E0D">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项目名称</w:t>
            </w:r>
          </w:p>
        </w:tc>
        <w:tc>
          <w:tcPr>
            <w:tcW w:w="377" w:type="pct"/>
            <w:vMerge w:val="restart"/>
            <w:shd w:val="clear" w:color="auto" w:fill="auto"/>
            <w:vAlign w:val="center"/>
          </w:tcPr>
          <w:p w:rsidR="00A243E6" w:rsidRPr="003E553B" w:rsidRDefault="00A243E6" w:rsidP="002A1E0D">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预算资金</w:t>
            </w:r>
          </w:p>
        </w:tc>
        <w:tc>
          <w:tcPr>
            <w:tcW w:w="334" w:type="pct"/>
            <w:vMerge/>
            <w:shd w:val="clear" w:color="auto" w:fill="auto"/>
            <w:vAlign w:val="center"/>
          </w:tcPr>
          <w:p w:rsidR="00A243E6" w:rsidRPr="003E553B" w:rsidRDefault="00A243E6" w:rsidP="002A1E0D">
            <w:pPr>
              <w:spacing w:line="300" w:lineRule="exact"/>
              <w:jc w:val="left"/>
              <w:outlineLvl w:val="0"/>
              <w:rPr>
                <w:rFonts w:ascii="Times New Roman" w:eastAsia="仿宋_GB2312" w:hAnsi="Times New Roman" w:cs="Times New Roman"/>
                <w:b/>
              </w:rPr>
            </w:pPr>
          </w:p>
        </w:tc>
        <w:tc>
          <w:tcPr>
            <w:tcW w:w="338" w:type="pct"/>
            <w:vMerge/>
            <w:shd w:val="clear" w:color="auto" w:fill="auto"/>
            <w:vAlign w:val="center"/>
          </w:tcPr>
          <w:p w:rsidR="00A243E6" w:rsidRPr="003E553B" w:rsidRDefault="00A243E6" w:rsidP="002A1E0D">
            <w:pPr>
              <w:spacing w:line="300" w:lineRule="exact"/>
              <w:jc w:val="left"/>
              <w:outlineLvl w:val="0"/>
              <w:rPr>
                <w:rFonts w:ascii="Times New Roman" w:eastAsia="仿宋_GB2312" w:hAnsi="Times New Roman" w:cs="Times New Roman"/>
                <w:b/>
              </w:rPr>
            </w:pPr>
          </w:p>
        </w:tc>
        <w:tc>
          <w:tcPr>
            <w:tcW w:w="261" w:type="pct"/>
            <w:vMerge/>
            <w:shd w:val="clear" w:color="auto" w:fill="auto"/>
            <w:vAlign w:val="center"/>
          </w:tcPr>
          <w:p w:rsidR="00A243E6" w:rsidRPr="003E553B" w:rsidRDefault="00A243E6" w:rsidP="002A1E0D">
            <w:pPr>
              <w:spacing w:line="300" w:lineRule="exact"/>
              <w:jc w:val="left"/>
              <w:outlineLvl w:val="0"/>
              <w:rPr>
                <w:rFonts w:ascii="Times New Roman" w:eastAsia="仿宋_GB2312" w:hAnsi="Times New Roman" w:cs="Times New Roman"/>
                <w:b/>
              </w:rPr>
            </w:pPr>
          </w:p>
        </w:tc>
        <w:tc>
          <w:tcPr>
            <w:tcW w:w="261" w:type="pct"/>
            <w:vMerge/>
            <w:shd w:val="clear" w:color="auto" w:fill="auto"/>
            <w:vAlign w:val="center"/>
          </w:tcPr>
          <w:p w:rsidR="00A243E6" w:rsidRPr="003E553B" w:rsidRDefault="00A243E6" w:rsidP="002A1E0D">
            <w:pPr>
              <w:spacing w:line="300" w:lineRule="exact"/>
              <w:jc w:val="left"/>
              <w:outlineLvl w:val="0"/>
              <w:rPr>
                <w:rFonts w:ascii="Times New Roman" w:eastAsia="仿宋_GB2312" w:hAnsi="Times New Roman" w:cs="Times New Roman"/>
                <w:b/>
              </w:rPr>
            </w:pPr>
          </w:p>
        </w:tc>
        <w:tc>
          <w:tcPr>
            <w:tcW w:w="290" w:type="pct"/>
            <w:vMerge/>
            <w:shd w:val="clear" w:color="auto" w:fill="auto"/>
            <w:vAlign w:val="center"/>
          </w:tcPr>
          <w:p w:rsidR="00A243E6" w:rsidRPr="003E553B" w:rsidRDefault="00A243E6" w:rsidP="002A1E0D">
            <w:pPr>
              <w:spacing w:line="300" w:lineRule="exact"/>
              <w:jc w:val="left"/>
              <w:outlineLvl w:val="0"/>
              <w:rPr>
                <w:rFonts w:ascii="Times New Roman" w:eastAsia="仿宋_GB2312" w:hAnsi="Times New Roman" w:cs="Times New Roman"/>
                <w:b/>
              </w:rPr>
            </w:pPr>
          </w:p>
        </w:tc>
        <w:tc>
          <w:tcPr>
            <w:tcW w:w="330" w:type="pct"/>
            <w:vMerge w:val="restart"/>
            <w:shd w:val="clear" w:color="auto" w:fill="auto"/>
            <w:vAlign w:val="center"/>
          </w:tcPr>
          <w:p w:rsidR="00A243E6" w:rsidRPr="003E553B" w:rsidRDefault="00A243E6" w:rsidP="002A1E0D">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总计</w:t>
            </w:r>
          </w:p>
        </w:tc>
        <w:tc>
          <w:tcPr>
            <w:tcW w:w="1651" w:type="pct"/>
            <w:gridSpan w:val="5"/>
            <w:shd w:val="clear" w:color="auto" w:fill="auto"/>
            <w:vAlign w:val="center"/>
          </w:tcPr>
          <w:p w:rsidR="00A243E6" w:rsidRPr="003E553B" w:rsidRDefault="00A243E6" w:rsidP="002A1E0D">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当年部门预算安排资金</w:t>
            </w:r>
          </w:p>
        </w:tc>
        <w:tc>
          <w:tcPr>
            <w:tcW w:w="317" w:type="pct"/>
            <w:vMerge w:val="restart"/>
            <w:shd w:val="clear" w:color="auto" w:fill="auto"/>
            <w:vAlign w:val="center"/>
          </w:tcPr>
          <w:p w:rsidR="00A243E6" w:rsidRPr="003E553B" w:rsidRDefault="00A243E6" w:rsidP="002A1E0D">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其他渠道资金</w:t>
            </w:r>
          </w:p>
        </w:tc>
      </w:tr>
      <w:tr w:rsidR="00A243E6" w:rsidTr="002A1E0D">
        <w:trPr>
          <w:tblHeader/>
          <w:jc w:val="center"/>
        </w:trPr>
        <w:tc>
          <w:tcPr>
            <w:tcW w:w="840" w:type="pct"/>
            <w:vMerge/>
            <w:shd w:val="clear" w:color="auto" w:fill="auto"/>
            <w:vAlign w:val="center"/>
          </w:tcPr>
          <w:p w:rsidR="00A243E6" w:rsidRDefault="00A243E6" w:rsidP="002A1E0D">
            <w:pPr>
              <w:spacing w:line="300" w:lineRule="exact"/>
              <w:jc w:val="left"/>
              <w:outlineLvl w:val="0"/>
            </w:pPr>
          </w:p>
        </w:tc>
        <w:tc>
          <w:tcPr>
            <w:tcW w:w="377" w:type="pct"/>
            <w:vMerge/>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4" w:type="pct"/>
            <w:vMerge/>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8" w:type="pct"/>
            <w:vMerge/>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261" w:type="pct"/>
            <w:vMerge/>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261" w:type="pct"/>
            <w:vMerge/>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290" w:type="pct"/>
            <w:vMerge/>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0" w:type="pct"/>
            <w:vMerge/>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合计</w:t>
            </w: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一般公共预算拨款</w:t>
            </w: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基金预算拨款</w:t>
            </w:r>
          </w:p>
        </w:tc>
        <w:tc>
          <w:tcPr>
            <w:tcW w:w="33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财政专户核拨</w:t>
            </w:r>
          </w:p>
        </w:tc>
        <w:tc>
          <w:tcPr>
            <w:tcW w:w="33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其他来源收入</w:t>
            </w:r>
          </w:p>
        </w:tc>
        <w:tc>
          <w:tcPr>
            <w:tcW w:w="317" w:type="pct"/>
            <w:vMerge/>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r>
      <w:tr w:rsidR="00A243E6" w:rsidTr="002A1E0D">
        <w:trPr>
          <w:jc w:val="center"/>
        </w:trPr>
        <w:tc>
          <w:tcPr>
            <w:tcW w:w="840" w:type="pct"/>
            <w:shd w:val="clear" w:color="auto" w:fill="auto"/>
            <w:vAlign w:val="center"/>
          </w:tcPr>
          <w:p w:rsidR="00A243E6" w:rsidRPr="00C634E8" w:rsidRDefault="00A243E6" w:rsidP="002A1E0D">
            <w:pPr>
              <w:spacing w:line="300" w:lineRule="exact"/>
              <w:jc w:val="center"/>
              <w:rPr>
                <w:rFonts w:ascii="方正书宋_GBK" w:eastAsia="方正书宋_GBK"/>
                <w:b/>
              </w:rPr>
            </w:pPr>
            <w:r w:rsidRPr="00C634E8">
              <w:rPr>
                <w:rFonts w:ascii="方正书宋_GBK" w:eastAsia="方正书宋_GBK" w:hint="eastAsia"/>
                <w:b/>
              </w:rPr>
              <w:t>合　计</w:t>
            </w:r>
          </w:p>
        </w:tc>
        <w:tc>
          <w:tcPr>
            <w:tcW w:w="377"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4"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8"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26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26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29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50.30</w:t>
            </w: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50.30</w:t>
            </w: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50.30</w:t>
            </w: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17"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r>
      <w:tr w:rsidR="00A243E6" w:rsidTr="002A1E0D">
        <w:trPr>
          <w:jc w:val="center"/>
        </w:trPr>
        <w:tc>
          <w:tcPr>
            <w:tcW w:w="840" w:type="pct"/>
            <w:shd w:val="clear" w:color="auto" w:fill="auto"/>
            <w:vAlign w:val="center"/>
          </w:tcPr>
          <w:p w:rsidR="00A243E6" w:rsidRPr="003E553B" w:rsidRDefault="00A243E6" w:rsidP="002A1E0D">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大城红木文化产业园管理办公室小计</w:t>
            </w:r>
          </w:p>
        </w:tc>
        <w:tc>
          <w:tcPr>
            <w:tcW w:w="377"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4"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8"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26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26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29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50.30</w:t>
            </w: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50.30</w:t>
            </w: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50.30</w:t>
            </w: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17"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r>
      <w:tr w:rsidR="00A243E6" w:rsidTr="002A1E0D">
        <w:trPr>
          <w:jc w:val="center"/>
        </w:trPr>
        <w:tc>
          <w:tcPr>
            <w:tcW w:w="84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日常公用经费</w:t>
            </w:r>
          </w:p>
        </w:tc>
        <w:tc>
          <w:tcPr>
            <w:tcW w:w="377"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10.60</w:t>
            </w:r>
          </w:p>
        </w:tc>
        <w:tc>
          <w:tcPr>
            <w:tcW w:w="334"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普通电视设备</w:t>
            </w:r>
            <w:r w:rsidRPr="003E553B">
              <w:rPr>
                <w:rFonts w:ascii="Times New Roman" w:eastAsia="仿宋_GB2312" w:hAnsi="Times New Roman" w:cs="Times New Roman"/>
                <w:b/>
              </w:rPr>
              <w:t>(</w:t>
            </w:r>
            <w:r w:rsidRPr="003E553B">
              <w:rPr>
                <w:rFonts w:ascii="Times New Roman" w:eastAsia="仿宋_GB2312" w:hAnsi="Times New Roman" w:cs="Times New Roman" w:hint="eastAsia"/>
                <w:b/>
              </w:rPr>
              <w:t>电视机</w:t>
            </w:r>
            <w:r w:rsidRPr="003E553B">
              <w:rPr>
                <w:rFonts w:ascii="Times New Roman" w:eastAsia="仿宋_GB2312" w:hAnsi="Times New Roman" w:cs="Times New Roman"/>
                <w:b/>
              </w:rPr>
              <w:t>)</w:t>
            </w:r>
          </w:p>
        </w:tc>
        <w:tc>
          <w:tcPr>
            <w:tcW w:w="338"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A02091001</w:t>
            </w:r>
          </w:p>
        </w:tc>
        <w:tc>
          <w:tcPr>
            <w:tcW w:w="26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台</w:t>
            </w:r>
          </w:p>
        </w:tc>
        <w:tc>
          <w:tcPr>
            <w:tcW w:w="26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1.00</w:t>
            </w:r>
          </w:p>
        </w:tc>
        <w:tc>
          <w:tcPr>
            <w:tcW w:w="29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0.30</w:t>
            </w: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0.30</w:t>
            </w: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0.30</w:t>
            </w: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0.30</w:t>
            </w: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17"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r>
      <w:tr w:rsidR="00A243E6" w:rsidTr="002A1E0D">
        <w:trPr>
          <w:jc w:val="center"/>
        </w:trPr>
        <w:tc>
          <w:tcPr>
            <w:tcW w:w="84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大城县红木检测中心技术服务费</w:t>
            </w:r>
          </w:p>
        </w:tc>
        <w:tc>
          <w:tcPr>
            <w:tcW w:w="377"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50.00</w:t>
            </w:r>
          </w:p>
        </w:tc>
        <w:tc>
          <w:tcPr>
            <w:tcW w:w="334"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专业技术报务</w:t>
            </w:r>
          </w:p>
        </w:tc>
        <w:tc>
          <w:tcPr>
            <w:tcW w:w="338"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C09</w:t>
            </w:r>
          </w:p>
        </w:tc>
        <w:tc>
          <w:tcPr>
            <w:tcW w:w="26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hint="eastAsia"/>
                <w:b/>
              </w:rPr>
              <w:t>项</w:t>
            </w:r>
          </w:p>
        </w:tc>
        <w:tc>
          <w:tcPr>
            <w:tcW w:w="26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1.00</w:t>
            </w:r>
          </w:p>
        </w:tc>
        <w:tc>
          <w:tcPr>
            <w:tcW w:w="29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50.00</w:t>
            </w: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50.00</w:t>
            </w: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50.00</w:t>
            </w: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r w:rsidRPr="003E553B">
              <w:rPr>
                <w:rFonts w:ascii="Times New Roman" w:eastAsia="仿宋_GB2312" w:hAnsi="Times New Roman" w:cs="Times New Roman"/>
                <w:b/>
              </w:rPr>
              <w:t>50.00</w:t>
            </w:r>
          </w:p>
        </w:tc>
        <w:tc>
          <w:tcPr>
            <w:tcW w:w="330"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31"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c>
          <w:tcPr>
            <w:tcW w:w="317" w:type="pct"/>
            <w:shd w:val="clear" w:color="auto" w:fill="auto"/>
            <w:vAlign w:val="center"/>
          </w:tcPr>
          <w:p w:rsidR="00A243E6" w:rsidRPr="003E553B" w:rsidRDefault="00A243E6" w:rsidP="003E553B">
            <w:pPr>
              <w:spacing w:line="300" w:lineRule="exact"/>
              <w:jc w:val="center"/>
              <w:rPr>
                <w:rFonts w:ascii="Times New Roman" w:eastAsia="仿宋_GB2312" w:hAnsi="Times New Roman" w:cs="Times New Roman"/>
                <w:b/>
              </w:rPr>
            </w:pPr>
          </w:p>
        </w:tc>
      </w:tr>
    </w:tbl>
    <w:p w:rsidR="00A243E6" w:rsidRDefault="00A243E6" w:rsidP="00A243E6">
      <w:pPr>
        <w:spacing w:line="300" w:lineRule="exact"/>
        <w:jc w:val="left"/>
        <w:outlineLvl w:val="0"/>
        <w:sectPr w:rsidR="00A243E6" w:rsidSect="00833942">
          <w:pgSz w:w="16839" w:h="11907" w:orient="landscape"/>
          <w:pgMar w:top="1361" w:right="1020" w:bottom="1361" w:left="1020" w:header="851" w:footer="992" w:gutter="0"/>
          <w:cols w:space="425"/>
          <w:docGrid w:type="lines" w:linePitch="312"/>
        </w:sectPr>
      </w:pPr>
    </w:p>
    <w:bookmarkEnd w:id="3"/>
    <w:p w:rsidR="00CA2BB5" w:rsidRDefault="001649B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七、国有资产信息</w:t>
      </w:r>
    </w:p>
    <w:p w:rsidR="00CA2BB5" w:rsidRDefault="00231FD8">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大城红木文化产业园管理办公室</w:t>
      </w:r>
      <w:r w:rsidR="001649B7">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60.64</w:t>
      </w:r>
      <w:r w:rsidR="001649B7">
        <w:rPr>
          <w:rFonts w:ascii="Times New Roman" w:eastAsia="仿宋_GB2312" w:hAnsi="Times New Roman" w:cs="Times New Roman"/>
          <w:sz w:val="32"/>
          <w:szCs w:val="32"/>
        </w:rPr>
        <w:t>万元，</w:t>
      </w:r>
      <w:r w:rsidR="001649B7">
        <w:rPr>
          <w:rFonts w:ascii="Times New Roman" w:eastAsia="仿宋_GB2312" w:hAnsi="Times New Roman" w:cs="Times New Roman" w:hint="eastAsia"/>
          <w:sz w:val="32"/>
          <w:szCs w:val="32"/>
        </w:rPr>
        <w:t>详见下表</w:t>
      </w:r>
      <w:r w:rsidR="001649B7">
        <w:rPr>
          <w:rFonts w:ascii="Times New Roman" w:eastAsia="仿宋_GB2312" w:hAnsi="Times New Roman" w:cs="Times New Roman"/>
          <w:sz w:val="32"/>
          <w:szCs w:val="32"/>
        </w:rPr>
        <w:t>。本年度</w:t>
      </w:r>
      <w:proofErr w:type="gramStart"/>
      <w:r w:rsidR="001649B7">
        <w:rPr>
          <w:rFonts w:ascii="Times New Roman" w:eastAsia="仿宋_GB2312" w:hAnsi="Times New Roman" w:cs="Times New Roman"/>
          <w:sz w:val="32"/>
          <w:szCs w:val="32"/>
        </w:rPr>
        <w:t>我部门</w:t>
      </w:r>
      <w:proofErr w:type="gramEnd"/>
      <w:r w:rsidR="001649B7">
        <w:rPr>
          <w:rFonts w:ascii="Times New Roman" w:eastAsia="仿宋_GB2312" w:hAnsi="Times New Roman" w:cs="Times New Roman"/>
          <w:sz w:val="32"/>
          <w:szCs w:val="32"/>
        </w:rPr>
        <w:t>拟购置固定资产</w:t>
      </w:r>
      <w:r w:rsidR="001649B7">
        <w:rPr>
          <w:rFonts w:ascii="Times New Roman" w:eastAsia="仿宋_GB2312" w:hAnsi="Times New Roman" w:cs="Times New Roman" w:hint="eastAsia"/>
          <w:sz w:val="32"/>
          <w:szCs w:val="32"/>
        </w:rPr>
        <w:t>共计</w:t>
      </w:r>
      <w:r>
        <w:rPr>
          <w:rFonts w:ascii="Times New Roman" w:eastAsia="仿宋_GB2312" w:hAnsi="Times New Roman" w:cs="Times New Roman" w:hint="eastAsia"/>
          <w:sz w:val="32"/>
          <w:szCs w:val="32"/>
        </w:rPr>
        <w:t>0.30</w:t>
      </w:r>
      <w:r w:rsidR="001649B7">
        <w:rPr>
          <w:rFonts w:ascii="Times New Roman" w:eastAsia="仿宋_GB2312" w:hAnsi="Times New Roman" w:cs="Times New Roman" w:hint="eastAsia"/>
          <w:sz w:val="32"/>
          <w:szCs w:val="32"/>
        </w:rPr>
        <w:t>万元</w:t>
      </w:r>
      <w:r w:rsidR="001649B7">
        <w:rPr>
          <w:rFonts w:ascii="Times New Roman" w:eastAsia="仿宋_GB2312" w:hAnsi="Times New Roman" w:cs="Times New Roman"/>
          <w:sz w:val="32"/>
          <w:szCs w:val="32"/>
        </w:rPr>
        <w:t>，主要为</w:t>
      </w:r>
      <w:r>
        <w:rPr>
          <w:rFonts w:ascii="Times New Roman" w:eastAsia="仿宋_GB2312" w:hAnsi="Times New Roman" w:cs="Times New Roman" w:hint="eastAsia"/>
          <w:sz w:val="32"/>
          <w:szCs w:val="32"/>
        </w:rPr>
        <w:t>办公电视机</w:t>
      </w:r>
      <w:r w:rsidR="001649B7">
        <w:rPr>
          <w:rFonts w:ascii="Times New Roman" w:eastAsia="仿宋_GB2312" w:hAnsi="Times New Roman" w:cs="Times New Roman"/>
          <w:sz w:val="32"/>
          <w:szCs w:val="32"/>
        </w:rPr>
        <w:t>，已列入政府采购预算</w:t>
      </w:r>
      <w:r w:rsidR="001649B7">
        <w:rPr>
          <w:rFonts w:ascii="Times New Roman" w:eastAsia="仿宋_GB2312" w:hAnsi="Times New Roman" w:cs="Times New Roman" w:hint="eastAsia"/>
          <w:sz w:val="32"/>
          <w:szCs w:val="32"/>
        </w:rPr>
        <w:t>，</w:t>
      </w:r>
      <w:r w:rsidR="001649B7">
        <w:rPr>
          <w:rFonts w:ascii="Times New Roman" w:eastAsia="仿宋_GB2312" w:hAnsi="Times New Roman" w:cs="Times New Roman"/>
          <w:sz w:val="32"/>
          <w:szCs w:val="32"/>
        </w:rPr>
        <w:t>详见</w:t>
      </w:r>
      <w:r w:rsidR="001649B7">
        <w:rPr>
          <w:rFonts w:ascii="Times New Roman" w:eastAsia="仿宋_GB2312" w:hAnsi="Times New Roman" w:cs="Times New Roman" w:hint="eastAsia"/>
          <w:sz w:val="32"/>
          <w:szCs w:val="32"/>
        </w:rPr>
        <w:t>政府采购</w:t>
      </w:r>
      <w:r w:rsidR="001649B7">
        <w:rPr>
          <w:rFonts w:ascii="Times New Roman" w:eastAsia="仿宋_GB2312" w:hAnsi="Times New Roman" w:cs="Times New Roman"/>
          <w:sz w:val="32"/>
          <w:szCs w:val="32"/>
        </w:rPr>
        <w:t>预算表。</w:t>
      </w:r>
    </w:p>
    <w:p w:rsidR="00CA2BB5" w:rsidRDefault="00CA2BB5">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tblPr>
      <w:tblGrid>
        <w:gridCol w:w="5224"/>
        <w:gridCol w:w="3155"/>
        <w:gridCol w:w="5103"/>
      </w:tblGrid>
      <w:tr w:rsidR="00CA2BB5">
        <w:trPr>
          <w:trHeight w:val="705"/>
        </w:trPr>
        <w:tc>
          <w:tcPr>
            <w:tcW w:w="13482" w:type="dxa"/>
            <w:gridSpan w:val="3"/>
            <w:tcBorders>
              <w:top w:val="nil"/>
              <w:left w:val="nil"/>
              <w:bottom w:val="nil"/>
              <w:right w:val="nil"/>
            </w:tcBorders>
            <w:shd w:val="clear" w:color="auto" w:fill="auto"/>
            <w:vAlign w:val="center"/>
          </w:tcPr>
          <w:p w:rsidR="00CA2BB5" w:rsidRDefault="00231FD8">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大城红木文化产业园管理办公室</w:t>
            </w:r>
            <w:r w:rsidR="001649B7">
              <w:rPr>
                <w:rFonts w:ascii="Times New Roman" w:eastAsia="仿宋_GB2312" w:hAnsi="Times New Roman" w:cs="Times New Roman"/>
                <w:b/>
                <w:bCs/>
                <w:kern w:val="0"/>
                <w:sz w:val="32"/>
                <w:szCs w:val="32"/>
              </w:rPr>
              <w:t>部门固定资产占用情况表</w:t>
            </w:r>
          </w:p>
        </w:tc>
      </w:tr>
      <w:tr w:rsidR="00CA2BB5">
        <w:trPr>
          <w:trHeight w:val="510"/>
        </w:trPr>
        <w:tc>
          <w:tcPr>
            <w:tcW w:w="8379" w:type="dxa"/>
            <w:gridSpan w:val="2"/>
            <w:tcBorders>
              <w:top w:val="nil"/>
              <w:left w:val="nil"/>
              <w:bottom w:val="nil"/>
              <w:right w:val="nil"/>
            </w:tcBorders>
            <w:shd w:val="clear" w:color="auto" w:fill="auto"/>
            <w:vAlign w:val="center"/>
          </w:tcPr>
          <w:p w:rsidR="00CA2BB5" w:rsidRDefault="001649B7" w:rsidP="00231FD8">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231FD8">
              <w:rPr>
                <w:rFonts w:ascii="Times New Roman" w:eastAsia="仿宋_GB2312" w:hAnsi="Times New Roman" w:cs="Times New Roman" w:hint="eastAsia"/>
                <w:kern w:val="0"/>
                <w:sz w:val="22"/>
              </w:rPr>
              <w:t>437</w:t>
            </w:r>
            <w:r w:rsidR="00231FD8">
              <w:rPr>
                <w:rFonts w:ascii="Times New Roman" w:eastAsia="仿宋_GB2312" w:hAnsi="Times New Roman" w:cs="Times New Roman" w:hint="eastAsia"/>
                <w:kern w:val="0"/>
                <w:sz w:val="22"/>
              </w:rPr>
              <w:t>大城红木文化产业园管理办公室</w:t>
            </w:r>
          </w:p>
        </w:tc>
        <w:tc>
          <w:tcPr>
            <w:tcW w:w="5103" w:type="dxa"/>
            <w:tcBorders>
              <w:top w:val="nil"/>
              <w:left w:val="nil"/>
              <w:bottom w:val="nil"/>
              <w:right w:val="nil"/>
            </w:tcBorders>
            <w:shd w:val="clear" w:color="auto" w:fill="auto"/>
            <w:vAlign w:val="center"/>
          </w:tcPr>
          <w:p w:rsidR="00CA2BB5" w:rsidRDefault="001649B7">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201</w:t>
            </w:r>
            <w:r>
              <w:rPr>
                <w:rFonts w:ascii="Times New Roman" w:eastAsia="仿宋_GB2312" w:hAnsi="Times New Roman" w:cs="Times New Roman" w:hint="eastAsia"/>
                <w:kern w:val="0"/>
                <w:sz w:val="22"/>
              </w:rPr>
              <w:t>8</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CA2BB5">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CA2BB5" w:rsidRDefault="001649B7">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CA2BB5" w:rsidRDefault="001649B7">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CA2BB5" w:rsidRDefault="001649B7">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CA2BB5">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CA2BB5" w:rsidRDefault="001649B7">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CA2BB5" w:rsidRDefault="001649B7">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vAlign w:val="center"/>
          </w:tcPr>
          <w:p w:rsidR="00CA2BB5" w:rsidRDefault="00231FD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60.64</w:t>
            </w:r>
          </w:p>
        </w:tc>
      </w:tr>
      <w:tr w:rsidR="00CA2BB5">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CA2BB5" w:rsidRDefault="001649B7">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vAlign w:val="center"/>
          </w:tcPr>
          <w:p w:rsidR="00CA2BB5" w:rsidRDefault="00CA2BB5">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CA2BB5" w:rsidRDefault="00CA2BB5">
            <w:pPr>
              <w:spacing w:line="584" w:lineRule="exact"/>
              <w:jc w:val="center"/>
              <w:rPr>
                <w:rFonts w:ascii="Times New Roman" w:eastAsia="仿宋_GB2312" w:hAnsi="Times New Roman" w:cs="Times New Roman"/>
                <w:sz w:val="22"/>
              </w:rPr>
            </w:pPr>
          </w:p>
        </w:tc>
      </w:tr>
      <w:tr w:rsidR="00CA2BB5">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CA2BB5" w:rsidRDefault="001649B7">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vAlign w:val="center"/>
          </w:tcPr>
          <w:p w:rsidR="00CA2BB5" w:rsidRDefault="00CA2BB5">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CA2BB5" w:rsidRDefault="00CA2BB5">
            <w:pPr>
              <w:spacing w:line="584" w:lineRule="exact"/>
              <w:jc w:val="center"/>
              <w:rPr>
                <w:rFonts w:ascii="Times New Roman" w:eastAsia="仿宋_GB2312" w:hAnsi="Times New Roman" w:cs="Times New Roman"/>
                <w:sz w:val="22"/>
              </w:rPr>
            </w:pPr>
          </w:p>
        </w:tc>
      </w:tr>
      <w:tr w:rsidR="00CA2BB5">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CA2BB5" w:rsidRDefault="001649B7">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vAlign w:val="center"/>
          </w:tcPr>
          <w:p w:rsidR="00CA2BB5" w:rsidRDefault="00231FD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vAlign w:val="center"/>
          </w:tcPr>
          <w:p w:rsidR="00CA2BB5" w:rsidRDefault="00231FD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20.48</w:t>
            </w:r>
          </w:p>
        </w:tc>
      </w:tr>
      <w:tr w:rsidR="00CA2BB5">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CA2BB5" w:rsidRDefault="001649B7">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vAlign w:val="center"/>
          </w:tcPr>
          <w:p w:rsidR="00CA2BB5" w:rsidRDefault="00CA2BB5">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CA2BB5" w:rsidRDefault="00CA2BB5">
            <w:pPr>
              <w:spacing w:line="584" w:lineRule="exact"/>
              <w:jc w:val="center"/>
              <w:rPr>
                <w:rFonts w:ascii="Times New Roman" w:eastAsia="仿宋_GB2312" w:hAnsi="Times New Roman" w:cs="Times New Roman"/>
                <w:sz w:val="22"/>
              </w:rPr>
            </w:pPr>
          </w:p>
        </w:tc>
      </w:tr>
      <w:tr w:rsidR="00CA2BB5">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CA2BB5" w:rsidRDefault="001649B7">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vAlign w:val="center"/>
          </w:tcPr>
          <w:p w:rsidR="00CA2BB5" w:rsidRDefault="00CA2BB5">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vAlign w:val="center"/>
          </w:tcPr>
          <w:p w:rsidR="00CA2BB5" w:rsidRDefault="00231FD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40.16</w:t>
            </w:r>
          </w:p>
        </w:tc>
      </w:tr>
    </w:tbl>
    <w:p w:rsidR="00B77066" w:rsidRDefault="00B77066">
      <w:pPr>
        <w:autoSpaceDE w:val="0"/>
        <w:autoSpaceDN w:val="0"/>
        <w:adjustRightInd w:val="0"/>
        <w:spacing w:line="584" w:lineRule="exact"/>
        <w:ind w:firstLineChars="200" w:firstLine="640"/>
        <w:jc w:val="left"/>
        <w:rPr>
          <w:rFonts w:ascii="Times New Roman" w:eastAsia="黑体" w:hAnsi="黑体" w:cs="Times New Roman"/>
          <w:sz w:val="32"/>
          <w:szCs w:val="32"/>
        </w:rPr>
      </w:pPr>
    </w:p>
    <w:p w:rsidR="00CA2BB5" w:rsidRDefault="001649B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八、名词解释</w:t>
      </w:r>
    </w:p>
    <w:p w:rsidR="00CA2BB5" w:rsidRDefault="001649B7" w:rsidP="00FE59A7">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sidR="007D7BBB">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CA2BB5" w:rsidRDefault="001649B7" w:rsidP="00FE59A7">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CA2BB5" w:rsidRDefault="001649B7" w:rsidP="00FE59A7">
      <w:pPr>
        <w:tabs>
          <w:tab w:val="left" w:pos="11490"/>
        </w:tabs>
        <w:spacing w:line="584"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CA2BB5" w:rsidRDefault="001649B7" w:rsidP="00FE59A7">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CA2BB5" w:rsidRDefault="001649B7" w:rsidP="00FE59A7">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CA2BB5" w:rsidRDefault="001649B7" w:rsidP="00FE59A7">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CA2BB5" w:rsidRDefault="001649B7" w:rsidP="00FE59A7">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sidR="007D7BBB">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sidR="007D7BBB">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rsidR="00CA2BB5" w:rsidRDefault="001649B7" w:rsidP="00FE59A7">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CA2BB5" w:rsidRDefault="001649B7" w:rsidP="00FE59A7">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CA2BB5" w:rsidRDefault="001649B7" w:rsidP="00FE59A7">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CA2BB5" w:rsidRDefault="001649B7">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九、其他需要说明的事项</w:t>
      </w:r>
    </w:p>
    <w:p w:rsidR="00CA2BB5" w:rsidRDefault="001649B7">
      <w:pPr>
        <w:spacing w:line="584"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无其他需要说明的事项。</w:t>
      </w:r>
    </w:p>
    <w:p w:rsidR="00CA2BB5" w:rsidRDefault="00CA2BB5">
      <w:pPr>
        <w:spacing w:line="584" w:lineRule="exact"/>
        <w:ind w:firstLineChars="200" w:firstLine="640"/>
        <w:rPr>
          <w:rFonts w:ascii="Times New Roman" w:eastAsia="仿宋_GB2312" w:hAnsi="Times New Roman" w:cs="Times New Roman"/>
          <w:sz w:val="32"/>
          <w:szCs w:val="32"/>
        </w:rPr>
      </w:pPr>
    </w:p>
    <w:p w:rsidR="00CA2BB5" w:rsidRDefault="00CA2BB5">
      <w:pPr>
        <w:spacing w:line="584" w:lineRule="exact"/>
        <w:rPr>
          <w:rFonts w:ascii="Times New Roman" w:eastAsia="仿宋_GB2312" w:hAnsi="Times New Roman" w:cs="Times New Roman"/>
          <w:sz w:val="32"/>
          <w:szCs w:val="32"/>
        </w:rPr>
      </w:pPr>
    </w:p>
    <w:p w:rsidR="00CA2BB5" w:rsidRDefault="00CA2BB5" w:rsidP="003C73B6">
      <w:pPr>
        <w:spacing w:line="584" w:lineRule="exact"/>
        <w:ind w:firstLineChars="200" w:firstLine="640"/>
        <w:rPr>
          <w:rFonts w:ascii="Times New Roman" w:eastAsia="仿宋_GB2312" w:hAnsi="Times New Roman" w:cs="Times New Roman"/>
          <w:b/>
          <w:color w:val="FF0000"/>
          <w:sz w:val="32"/>
          <w:szCs w:val="32"/>
        </w:rPr>
      </w:pPr>
    </w:p>
    <w:sectPr w:rsidR="00CA2BB5" w:rsidSect="00CA2BB5">
      <w:footerReference w:type="default" r:id="rId8"/>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892" w:rsidRDefault="00022892" w:rsidP="00CA2BB5">
      <w:r>
        <w:separator/>
      </w:r>
    </w:p>
  </w:endnote>
  <w:endnote w:type="continuationSeparator" w:id="0">
    <w:p w:rsidR="00022892" w:rsidRDefault="00022892" w:rsidP="00CA2B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楷体_GBK">
    <w:altName w:val="宋体"/>
    <w:panose1 w:val="00000000000000000000"/>
    <w:charset w:val="86"/>
    <w:family w:val="roman"/>
    <w:notTrueType/>
    <w:pitch w:val="default"/>
    <w:sig w:usb0="00000000" w:usb1="00000000" w:usb2="00000000" w:usb3="00000000" w:csb0="00000000" w:csb1="00000000"/>
  </w:font>
  <w:font w:name="方正小标宋_GBK">
    <w:altName w:val="Arial Unicode MS"/>
    <w:charset w:val="86"/>
    <w:family w:val="script"/>
    <w:pitch w:val="default"/>
    <w:sig w:usb0="00000000" w:usb1="00000000" w:usb2="00000010" w:usb3="00000000" w:csb0="00040000" w:csb1="00000000"/>
  </w:font>
  <w:font w:name="方正书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B5" w:rsidRDefault="00CA2BB5" w:rsidP="00C00B88">
    <w:pPr>
      <w:pStyle w:val="a4"/>
    </w:pPr>
  </w:p>
  <w:p w:rsidR="00CA2BB5" w:rsidRDefault="00CA2B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892" w:rsidRDefault="00022892" w:rsidP="00CA2BB5">
      <w:r>
        <w:separator/>
      </w:r>
    </w:p>
  </w:footnote>
  <w:footnote w:type="continuationSeparator" w:id="0">
    <w:p w:rsidR="00022892" w:rsidRDefault="00022892" w:rsidP="00CA2BB5">
      <w:r>
        <w:continuationSeparator/>
      </w:r>
    </w:p>
  </w:footnote>
  <w:footnote w:id="1">
    <w:p w:rsidR="001E1896" w:rsidRDefault="001E1896" w:rsidP="001E1896">
      <w:pPr>
        <w:pStyle w:val="a6"/>
      </w:pPr>
      <w:r w:rsidRPr="00C634E8">
        <w:rPr>
          <w:rStyle w:val="a7"/>
        </w:rPr>
        <w:sym w:font="Symbol" w:char="F020"/>
      </w:r>
      <w:r w:rsidRPr="00C634E8">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53CC"/>
    <w:rsid w:val="00010564"/>
    <w:rsid w:val="00022892"/>
    <w:rsid w:val="00037AF6"/>
    <w:rsid w:val="000410F2"/>
    <w:rsid w:val="0004565F"/>
    <w:rsid w:val="00072187"/>
    <w:rsid w:val="00075D5F"/>
    <w:rsid w:val="00076694"/>
    <w:rsid w:val="0008180F"/>
    <w:rsid w:val="0008751C"/>
    <w:rsid w:val="00093DA3"/>
    <w:rsid w:val="000A125B"/>
    <w:rsid w:val="000B529B"/>
    <w:rsid w:val="000C0B5A"/>
    <w:rsid w:val="000C24E6"/>
    <w:rsid w:val="000C345A"/>
    <w:rsid w:val="000C3A19"/>
    <w:rsid w:val="000E4305"/>
    <w:rsid w:val="000F0D09"/>
    <w:rsid w:val="001245BB"/>
    <w:rsid w:val="001251A3"/>
    <w:rsid w:val="0015229A"/>
    <w:rsid w:val="00160266"/>
    <w:rsid w:val="001643E8"/>
    <w:rsid w:val="001649B7"/>
    <w:rsid w:val="00176C13"/>
    <w:rsid w:val="001919C4"/>
    <w:rsid w:val="0019723B"/>
    <w:rsid w:val="001A0943"/>
    <w:rsid w:val="001A5828"/>
    <w:rsid w:val="001B5C1D"/>
    <w:rsid w:val="001D287A"/>
    <w:rsid w:val="001E0757"/>
    <w:rsid w:val="001E1896"/>
    <w:rsid w:val="001E6DDC"/>
    <w:rsid w:val="001E70E9"/>
    <w:rsid w:val="001F5631"/>
    <w:rsid w:val="001F5C92"/>
    <w:rsid w:val="001F7873"/>
    <w:rsid w:val="00230E48"/>
    <w:rsid w:val="00231FD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23EA"/>
    <w:rsid w:val="00325215"/>
    <w:rsid w:val="0033339C"/>
    <w:rsid w:val="00340B53"/>
    <w:rsid w:val="0035775D"/>
    <w:rsid w:val="0036086E"/>
    <w:rsid w:val="003874EF"/>
    <w:rsid w:val="003B6D37"/>
    <w:rsid w:val="003C73B6"/>
    <w:rsid w:val="003C7F80"/>
    <w:rsid w:val="003E553B"/>
    <w:rsid w:val="00414BD3"/>
    <w:rsid w:val="00424943"/>
    <w:rsid w:val="0042727E"/>
    <w:rsid w:val="0043175C"/>
    <w:rsid w:val="00437296"/>
    <w:rsid w:val="004373ED"/>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42B59"/>
    <w:rsid w:val="00554F4B"/>
    <w:rsid w:val="00572067"/>
    <w:rsid w:val="00573562"/>
    <w:rsid w:val="00590ECE"/>
    <w:rsid w:val="005B3F56"/>
    <w:rsid w:val="005C0E90"/>
    <w:rsid w:val="005D0C27"/>
    <w:rsid w:val="005D37CA"/>
    <w:rsid w:val="005E25FB"/>
    <w:rsid w:val="005F5714"/>
    <w:rsid w:val="005F7AE1"/>
    <w:rsid w:val="00600299"/>
    <w:rsid w:val="00611D03"/>
    <w:rsid w:val="00614A29"/>
    <w:rsid w:val="00636109"/>
    <w:rsid w:val="00651BA2"/>
    <w:rsid w:val="00673D76"/>
    <w:rsid w:val="006854F0"/>
    <w:rsid w:val="006B1C4A"/>
    <w:rsid w:val="006B610D"/>
    <w:rsid w:val="006C1142"/>
    <w:rsid w:val="006C206A"/>
    <w:rsid w:val="006E49F5"/>
    <w:rsid w:val="007013C8"/>
    <w:rsid w:val="00704927"/>
    <w:rsid w:val="0072360D"/>
    <w:rsid w:val="00727C84"/>
    <w:rsid w:val="0074338E"/>
    <w:rsid w:val="00753836"/>
    <w:rsid w:val="0075393C"/>
    <w:rsid w:val="00754592"/>
    <w:rsid w:val="00760D56"/>
    <w:rsid w:val="00776C08"/>
    <w:rsid w:val="007928BD"/>
    <w:rsid w:val="007B49AA"/>
    <w:rsid w:val="007C219A"/>
    <w:rsid w:val="007D7BBB"/>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0752"/>
    <w:rsid w:val="008E40F6"/>
    <w:rsid w:val="008E4261"/>
    <w:rsid w:val="008E70D4"/>
    <w:rsid w:val="008F4662"/>
    <w:rsid w:val="0090563F"/>
    <w:rsid w:val="00905D08"/>
    <w:rsid w:val="00906672"/>
    <w:rsid w:val="00925753"/>
    <w:rsid w:val="00937F8B"/>
    <w:rsid w:val="00940069"/>
    <w:rsid w:val="009425F4"/>
    <w:rsid w:val="00943BD8"/>
    <w:rsid w:val="00954B2C"/>
    <w:rsid w:val="00960946"/>
    <w:rsid w:val="00966C5C"/>
    <w:rsid w:val="00973104"/>
    <w:rsid w:val="009842F6"/>
    <w:rsid w:val="00995BF0"/>
    <w:rsid w:val="009A16D5"/>
    <w:rsid w:val="009A353D"/>
    <w:rsid w:val="009B0B77"/>
    <w:rsid w:val="009B511E"/>
    <w:rsid w:val="009B5215"/>
    <w:rsid w:val="009C6C86"/>
    <w:rsid w:val="009D37D3"/>
    <w:rsid w:val="00A16E6C"/>
    <w:rsid w:val="00A243E6"/>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77066"/>
    <w:rsid w:val="00B9104C"/>
    <w:rsid w:val="00B91D52"/>
    <w:rsid w:val="00B9490F"/>
    <w:rsid w:val="00BA1ACD"/>
    <w:rsid w:val="00BB21A8"/>
    <w:rsid w:val="00BD09F8"/>
    <w:rsid w:val="00C005B2"/>
    <w:rsid w:val="00C00B88"/>
    <w:rsid w:val="00C1565C"/>
    <w:rsid w:val="00C21E0F"/>
    <w:rsid w:val="00C362CA"/>
    <w:rsid w:val="00C732BF"/>
    <w:rsid w:val="00C772C1"/>
    <w:rsid w:val="00CA2BB5"/>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90BCE"/>
    <w:rsid w:val="00EB7A80"/>
    <w:rsid w:val="00EC47F6"/>
    <w:rsid w:val="00EE6D6D"/>
    <w:rsid w:val="00EF08C9"/>
    <w:rsid w:val="00EF535E"/>
    <w:rsid w:val="00F471F7"/>
    <w:rsid w:val="00F63A2F"/>
    <w:rsid w:val="00F66032"/>
    <w:rsid w:val="00F83B96"/>
    <w:rsid w:val="00F8441D"/>
    <w:rsid w:val="00F87C1E"/>
    <w:rsid w:val="00F958C2"/>
    <w:rsid w:val="00FA740E"/>
    <w:rsid w:val="00FC06C7"/>
    <w:rsid w:val="00FD5DB4"/>
    <w:rsid w:val="00FD676E"/>
    <w:rsid w:val="00FE1724"/>
    <w:rsid w:val="00FE59A7"/>
    <w:rsid w:val="00FE5B5D"/>
    <w:rsid w:val="00FE5FBF"/>
    <w:rsid w:val="00FE753C"/>
    <w:rsid w:val="00FF2346"/>
    <w:rsid w:val="21AA4A7C"/>
    <w:rsid w:val="7A8B2A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unhideWhenUsed="0" w:qFormat="1"/>
    <w:lsdException w:name="footer" w:semiHidden="0" w:unhideWhenUsed="0" w:qFormat="1"/>
    <w:lsdException w:name="caption" w:uiPriority="35" w:qFormat="1"/>
    <w:lsdException w:name="footnote reference" w:semiHidden="0" w:uiPriority="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A2BB5"/>
    <w:rPr>
      <w:sz w:val="18"/>
      <w:szCs w:val="18"/>
    </w:rPr>
  </w:style>
  <w:style w:type="paragraph" w:styleId="a4">
    <w:name w:val="footer"/>
    <w:basedOn w:val="a"/>
    <w:link w:val="Char0"/>
    <w:uiPriority w:val="99"/>
    <w:qFormat/>
    <w:rsid w:val="00CA2BB5"/>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rsid w:val="00CA2BB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sid w:val="00CA2BB5"/>
    <w:rPr>
      <w:rFonts w:ascii="Times New Roman" w:eastAsia="宋体" w:hAnsi="Times New Roman" w:cs="Times New Roman"/>
      <w:szCs w:val="24"/>
    </w:rPr>
  </w:style>
  <w:style w:type="paragraph" w:styleId="a6">
    <w:name w:val="footnote text"/>
    <w:basedOn w:val="a"/>
    <w:link w:val="Char2"/>
    <w:unhideWhenUsed/>
    <w:qFormat/>
    <w:rsid w:val="00CA2BB5"/>
    <w:pPr>
      <w:snapToGrid w:val="0"/>
      <w:jc w:val="left"/>
    </w:pPr>
    <w:rPr>
      <w:rFonts w:ascii="Calibri" w:eastAsia="宋体" w:hAnsi="Calibri" w:cs="Times New Roman"/>
      <w:sz w:val="18"/>
      <w:szCs w:val="18"/>
    </w:rPr>
  </w:style>
  <w:style w:type="paragraph" w:styleId="2">
    <w:name w:val="toc 2"/>
    <w:basedOn w:val="a"/>
    <w:next w:val="a"/>
    <w:uiPriority w:val="39"/>
    <w:rsid w:val="00CA2BB5"/>
    <w:pPr>
      <w:ind w:leftChars="200" w:left="420"/>
    </w:pPr>
    <w:rPr>
      <w:rFonts w:ascii="Times New Roman" w:eastAsia="宋体" w:hAnsi="Times New Roman" w:cs="Times New Roman"/>
      <w:szCs w:val="24"/>
    </w:rPr>
  </w:style>
  <w:style w:type="character" w:styleId="a7">
    <w:name w:val="footnote reference"/>
    <w:unhideWhenUsed/>
    <w:qFormat/>
    <w:rsid w:val="00CA2BB5"/>
    <w:rPr>
      <w:vertAlign w:val="superscript"/>
    </w:rPr>
  </w:style>
  <w:style w:type="character" w:customStyle="1" w:styleId="Char1">
    <w:name w:val="页眉 Char"/>
    <w:basedOn w:val="a0"/>
    <w:link w:val="a5"/>
    <w:uiPriority w:val="99"/>
    <w:qFormat/>
    <w:rsid w:val="00CA2BB5"/>
    <w:rPr>
      <w:rFonts w:ascii="Times New Roman" w:eastAsia="宋体" w:hAnsi="Times New Roman" w:cs="Times New Roman"/>
      <w:sz w:val="18"/>
      <w:szCs w:val="18"/>
    </w:rPr>
  </w:style>
  <w:style w:type="character" w:customStyle="1" w:styleId="Char0">
    <w:name w:val="页脚 Char"/>
    <w:basedOn w:val="a0"/>
    <w:link w:val="a4"/>
    <w:uiPriority w:val="99"/>
    <w:qFormat/>
    <w:rsid w:val="00CA2BB5"/>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CA2BB5"/>
    <w:rPr>
      <w:sz w:val="18"/>
      <w:szCs w:val="18"/>
    </w:rPr>
  </w:style>
  <w:style w:type="paragraph" w:customStyle="1" w:styleId="Default">
    <w:name w:val="Default"/>
    <w:qFormat/>
    <w:rsid w:val="00CA2BB5"/>
    <w:pPr>
      <w:widowControl w:val="0"/>
      <w:autoSpaceDE w:val="0"/>
      <w:autoSpaceDN w:val="0"/>
      <w:adjustRightInd w:val="0"/>
    </w:pPr>
    <w:rPr>
      <w:rFonts w:ascii="Times New Roman" w:hAnsi="Times New Roman" w:cs="Times New Roman"/>
      <w:color w:val="000000"/>
      <w:sz w:val="24"/>
      <w:szCs w:val="24"/>
    </w:rPr>
  </w:style>
  <w:style w:type="character" w:customStyle="1" w:styleId="Char2">
    <w:name w:val="脚注文本 Char"/>
    <w:basedOn w:val="a0"/>
    <w:link w:val="a6"/>
    <w:uiPriority w:val="99"/>
    <w:semiHidden/>
    <w:qFormat/>
    <w:rsid w:val="00CA2BB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FD121D-67DF-40AF-B654-9D81C103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764</Words>
  <Characters>4360</Characters>
  <Application>Microsoft Office Word</Application>
  <DocSecurity>0</DocSecurity>
  <Lines>36</Lines>
  <Paragraphs>10</Paragraphs>
  <ScaleCrop>false</ScaleCrop>
  <Company>Microsoft</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Windows 用户</cp:lastModifiedBy>
  <cp:revision>48</cp:revision>
  <cp:lastPrinted>2018-01-30T06:12:00Z</cp:lastPrinted>
  <dcterms:created xsi:type="dcterms:W3CDTF">2019-01-16T09:51:00Z</dcterms:created>
  <dcterms:modified xsi:type="dcterms:W3CDTF">2019-03-01T05:52:00Z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