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31680" w:firstLineChars="2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河北大城经济开发区管理委员会</w:t>
      </w:r>
      <w:r>
        <w:rPr>
          <w:rFonts w:hint="default" w:ascii="Times New Roman" w:hAnsi="Times New Roman" w:eastAsia="方正小标宋简体" w:cs="Times New Roman"/>
          <w:sz w:val="44"/>
          <w:szCs w:val="44"/>
        </w:rPr>
        <w:t>2019</w:t>
      </w:r>
      <w:r>
        <w:rPr>
          <w:rFonts w:hint="eastAsia" w:ascii="方正小标宋简体" w:hAnsi="方正小标宋简体" w:eastAsia="方正小标宋简体" w:cs="方正小标宋简体"/>
          <w:sz w:val="44"/>
          <w:szCs w:val="44"/>
        </w:rPr>
        <w:t>年部门预算信息公开情况说明</w:t>
      </w:r>
    </w:p>
    <w:p>
      <w:pPr>
        <w:spacing w:line="584" w:lineRule="exact"/>
        <w:ind w:firstLine="31680" w:firstLineChars="200"/>
        <w:jc w:val="center"/>
        <w:rPr>
          <w:rFonts w:ascii="Times New Roman" w:hAnsi="Times New Roman" w:eastAsia="仿宋_GB2312"/>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按照《预算法》、《地方预决算公开操作规程》和《河北省省级预算公开办法》规定，现将河北大城经济开发区管理委员会2019年部门预算公开如下：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Times New Roman" w:hAnsi="Times New Roman" w:eastAsia="黑体"/>
          <w:sz w:val="32"/>
          <w:szCs w:val="32"/>
        </w:rPr>
      </w:pPr>
      <w:r>
        <w:rPr>
          <w:rFonts w:hint="eastAsia" w:ascii="Times New Roman" w:hAnsi="黑体" w:eastAsia="黑体"/>
          <w:sz w:val="32"/>
          <w:szCs w:val="32"/>
        </w:rPr>
        <w:t>一、部门职责及机构设置情况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Times New Roman" w:hAnsi="Times New Roman" w:eastAsia="楷体_GB2312"/>
          <w:b/>
          <w:sz w:val="32"/>
          <w:szCs w:val="32"/>
        </w:rPr>
      </w:pPr>
      <w:r>
        <w:rPr>
          <w:rFonts w:hint="eastAsia" w:ascii="Times New Roman" w:hAnsi="Times New Roman" w:eastAsia="楷体_GB2312"/>
          <w:b/>
          <w:sz w:val="32"/>
          <w:szCs w:val="32"/>
        </w:rPr>
        <w:t>部门职责：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、提供各类计划生育技术服务，建立利益导向机制，开展出生人口性别比治理以及流动人口计划生育管理等各项工作。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、依法监督技术引进、设备进口、国家限制出口的技术工作，拟订县级服务贸易发展规划并组织实施；负责对外贸易相关行政审批。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、进行执法检查；围绕政府工作报告内容开展调查研究，开展专题询问和工作评议；对“一府两院”进行监督。</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、新闻宣传和机关信息化建设与维护；人代会及常委会机关基础设施建设与维护；县人大机关日常管理事务；信访工作。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、完善县委公文运转、大型会议和活动组织安排、公务接待等。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、围绕县委总体工作部署开展综合调研，收集和处理信息、反映动态；承担县委重要工作部署贯彻落实的督导检查，上级领导和县委领导批示件的传达和催办落实。</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、组织实施农业产业化经营的发展规划与政策，支持全县农业企业产业化加快发展。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、制定和落实园区发展规划，做好园区基础设施建设工作</w:t>
      </w:r>
    </w:p>
    <w:p>
      <w:pPr>
        <w:autoSpaceDE w:val="0"/>
        <w:autoSpaceDN w:val="0"/>
        <w:adjustRightInd w:val="0"/>
        <w:spacing w:line="584" w:lineRule="exact"/>
        <w:ind w:firstLine="3168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ind w:firstLine="31680"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部门机构设置情况</w:t>
      </w:r>
    </w:p>
    <w:tbl>
      <w:tblPr>
        <w:tblStyle w:val="10"/>
        <w:tblW w:w="10248" w:type="dxa"/>
        <w:jc w:val="center"/>
        <w:tblInd w:w="-4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8"/>
        <w:gridCol w:w="1650"/>
        <w:gridCol w:w="1558"/>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blHeader/>
          <w:jc w:val="center"/>
        </w:trPr>
        <w:tc>
          <w:tcPr>
            <w:tcW w:w="4138" w:type="dxa"/>
            <w:vMerge w:val="restart"/>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单位名称</w:t>
            </w:r>
          </w:p>
        </w:tc>
        <w:tc>
          <w:tcPr>
            <w:tcW w:w="1650" w:type="dxa"/>
            <w:vMerge w:val="restart"/>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单位性质</w:t>
            </w:r>
          </w:p>
        </w:tc>
        <w:tc>
          <w:tcPr>
            <w:tcW w:w="1558" w:type="dxa"/>
            <w:vMerge w:val="restart"/>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单位规格</w:t>
            </w:r>
          </w:p>
        </w:tc>
        <w:tc>
          <w:tcPr>
            <w:tcW w:w="2902" w:type="dxa"/>
            <w:vMerge w:val="restart"/>
            <w:vAlign w:val="center"/>
          </w:tcPr>
          <w:p>
            <w:pPr>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blHeader/>
          <w:jc w:val="center"/>
        </w:trPr>
        <w:tc>
          <w:tcPr>
            <w:tcW w:w="4138" w:type="dxa"/>
            <w:vMerge w:val="continue"/>
            <w:vAlign w:val="center"/>
          </w:tcPr>
          <w:p>
            <w:pPr>
              <w:ind w:firstLine="31680" w:firstLineChars="200"/>
              <w:rPr>
                <w:rFonts w:hint="eastAsia" w:ascii="仿宋_GB2312" w:hAnsi="仿宋_GB2312" w:eastAsia="仿宋_GB2312" w:cs="仿宋_GB2312"/>
                <w:sz w:val="24"/>
                <w:szCs w:val="24"/>
              </w:rPr>
            </w:pPr>
          </w:p>
        </w:tc>
        <w:tc>
          <w:tcPr>
            <w:tcW w:w="1650" w:type="dxa"/>
            <w:vMerge w:val="continue"/>
            <w:vAlign w:val="center"/>
          </w:tcPr>
          <w:p>
            <w:pPr>
              <w:ind w:firstLine="31680" w:firstLineChars="200"/>
              <w:rPr>
                <w:rFonts w:hint="eastAsia" w:ascii="仿宋_GB2312" w:hAnsi="仿宋_GB2312" w:eastAsia="仿宋_GB2312" w:cs="仿宋_GB2312"/>
                <w:sz w:val="24"/>
                <w:szCs w:val="24"/>
              </w:rPr>
            </w:pPr>
          </w:p>
        </w:tc>
        <w:tc>
          <w:tcPr>
            <w:tcW w:w="1558" w:type="dxa"/>
            <w:vMerge w:val="continue"/>
            <w:vAlign w:val="center"/>
          </w:tcPr>
          <w:p>
            <w:pPr>
              <w:ind w:firstLine="31680" w:firstLineChars="200"/>
              <w:rPr>
                <w:rFonts w:hint="eastAsia" w:ascii="仿宋_GB2312" w:hAnsi="仿宋_GB2312" w:eastAsia="仿宋_GB2312" w:cs="仿宋_GB2312"/>
                <w:sz w:val="24"/>
                <w:szCs w:val="24"/>
              </w:rPr>
            </w:pPr>
          </w:p>
        </w:tc>
        <w:tc>
          <w:tcPr>
            <w:tcW w:w="2902" w:type="dxa"/>
            <w:vMerge w:val="continue"/>
            <w:vAlign w:val="center"/>
          </w:tcPr>
          <w:p>
            <w:pPr>
              <w:ind w:firstLine="31680" w:firstLineChars="200"/>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138" w:type="dxa"/>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河北大城经济开发区管理委员会</w:t>
            </w:r>
          </w:p>
        </w:tc>
        <w:tc>
          <w:tcPr>
            <w:tcW w:w="1650"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w:t>
            </w:r>
          </w:p>
        </w:tc>
        <w:tc>
          <w:tcPr>
            <w:tcW w:w="1558"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正处级</w:t>
            </w:r>
          </w:p>
        </w:tc>
        <w:tc>
          <w:tcPr>
            <w:tcW w:w="2902"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138" w:type="dxa"/>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现代制造业工业园区管理办公室</w:t>
            </w:r>
          </w:p>
        </w:tc>
        <w:tc>
          <w:tcPr>
            <w:tcW w:w="1650"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w:t>
            </w:r>
          </w:p>
        </w:tc>
        <w:tc>
          <w:tcPr>
            <w:tcW w:w="1558"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正科级</w:t>
            </w:r>
          </w:p>
        </w:tc>
        <w:tc>
          <w:tcPr>
            <w:tcW w:w="2902"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138" w:type="dxa"/>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新能源车产业园管理办公室</w:t>
            </w:r>
          </w:p>
        </w:tc>
        <w:tc>
          <w:tcPr>
            <w:tcW w:w="1650"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w:t>
            </w:r>
          </w:p>
        </w:tc>
        <w:tc>
          <w:tcPr>
            <w:tcW w:w="1558"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正科级</w:t>
            </w:r>
          </w:p>
        </w:tc>
        <w:tc>
          <w:tcPr>
            <w:tcW w:w="2902"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4138" w:type="dxa"/>
            <w:vAlign w:val="center"/>
          </w:tcPr>
          <w:p>
            <w:pPr>
              <w:spacing w:line="3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气雾剂产业园管理办公室</w:t>
            </w:r>
          </w:p>
        </w:tc>
        <w:tc>
          <w:tcPr>
            <w:tcW w:w="1650"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w:t>
            </w:r>
          </w:p>
        </w:tc>
        <w:tc>
          <w:tcPr>
            <w:tcW w:w="1558"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正科级</w:t>
            </w:r>
          </w:p>
        </w:tc>
        <w:tc>
          <w:tcPr>
            <w:tcW w:w="2902"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财政拨款</w:t>
            </w:r>
          </w:p>
        </w:tc>
      </w:tr>
    </w:tbl>
    <w:p>
      <w:pPr>
        <w:keepNext w:val="0"/>
        <w:keepLines w:val="0"/>
        <w:pageBreakBefore w:val="0"/>
        <w:widowControl w:val="0"/>
        <w:kinsoku/>
        <w:wordWrap/>
        <w:overflowPunct/>
        <w:topLinePunct w:val="0"/>
        <w:bidi w:val="0"/>
        <w:snapToGrid/>
        <w:spacing w:line="570" w:lineRule="exact"/>
        <w:ind w:right="0" w:rightChars="0"/>
        <w:textAlignment w:val="auto"/>
        <w:outlineLvl w:val="9"/>
        <w:rPr>
          <w:rFonts w:ascii="Times New Roman" w:hAnsi="Times New Roman" w:eastAsia="黑体"/>
          <w:sz w:val="32"/>
          <w:szCs w:val="32"/>
        </w:rPr>
      </w:pPr>
      <w:r>
        <w:rPr>
          <w:rFonts w:hint="eastAsia" w:ascii="Times New Roman" w:hAnsi="黑体" w:eastAsia="黑体"/>
          <w:sz w:val="32"/>
          <w:szCs w:val="32"/>
          <w:lang w:val="en-US" w:eastAsia="zh-CN"/>
        </w:rPr>
        <w:t xml:space="preserve">     </w:t>
      </w:r>
      <w:r>
        <w:rPr>
          <w:rFonts w:hint="eastAsia" w:ascii="Times New Roman" w:hAnsi="黑体" w:eastAsia="黑体"/>
          <w:sz w:val="32"/>
          <w:szCs w:val="32"/>
        </w:rPr>
        <w:t>二、部门预算安排的总体情况</w:t>
      </w:r>
    </w:p>
    <w:p>
      <w:pPr>
        <w:keepNext w:val="0"/>
        <w:keepLines w:val="0"/>
        <w:pageBreakBefore w:val="0"/>
        <w:widowControl w:val="0"/>
        <w:kinsoku/>
        <w:wordWrap/>
        <w:overflowPunct/>
        <w:topLinePunct w:val="0"/>
        <w:bidi w:val="0"/>
        <w:snapToGrid/>
        <w:spacing w:line="570" w:lineRule="exact"/>
        <w:ind w:right="0" w:rightChars="0" w:firstLine="3168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部门预算的编制实行综合预算制度，即全部收入和支出都反映在预算中。河北大城经济开发区管理委员会机关及所属事业单位的收支包含在部门预算中。</w:t>
      </w:r>
    </w:p>
    <w:p>
      <w:pPr>
        <w:keepNext w:val="0"/>
        <w:keepLines w:val="0"/>
        <w:pageBreakBefore w:val="0"/>
        <w:widowControl w:val="0"/>
        <w:kinsoku/>
        <w:wordWrap/>
        <w:overflowPunct/>
        <w:topLinePunct w:val="0"/>
        <w:bidi w:val="0"/>
        <w:snapToGrid/>
        <w:spacing w:line="570" w:lineRule="exact"/>
        <w:ind w:right="0" w:rightChars="0" w:firstLine="64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1、收入说明</w:t>
      </w:r>
    </w:p>
    <w:p>
      <w:pPr>
        <w:keepNext w:val="0"/>
        <w:keepLines w:val="0"/>
        <w:pageBreakBefore w:val="0"/>
        <w:widowControl w:val="0"/>
        <w:kinsoku/>
        <w:wordWrap/>
        <w:overflowPunct/>
        <w:topLinePunct w:val="0"/>
        <w:bidi w:val="0"/>
        <w:snapToGrid/>
        <w:spacing w:line="57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反映本部门当年全部收入。2019年预算收入7262.39万元，其中：一般公共预算收入1621.69万元，基金预算收入5640.7万元，财政专户核拨收入0万元，其他来源收入0万元。</w:t>
      </w:r>
    </w:p>
    <w:p>
      <w:pPr>
        <w:keepNext w:val="0"/>
        <w:keepLines w:val="0"/>
        <w:pageBreakBefore w:val="0"/>
        <w:widowControl w:val="0"/>
        <w:kinsoku/>
        <w:wordWrap/>
        <w:overflowPunct/>
        <w:topLinePunct w:val="0"/>
        <w:bidi w:val="0"/>
        <w:snapToGrid/>
        <w:spacing w:line="570" w:lineRule="exact"/>
        <w:ind w:right="0" w:rightChars="0" w:firstLine="64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2、支出说明</w:t>
      </w:r>
    </w:p>
    <w:p>
      <w:pPr>
        <w:keepNext w:val="0"/>
        <w:keepLines w:val="0"/>
        <w:pageBreakBefore w:val="0"/>
        <w:widowControl w:val="0"/>
        <w:kinsoku/>
        <w:wordWrap/>
        <w:overflowPunct/>
        <w:topLinePunct w:val="0"/>
        <w:bidi w:val="0"/>
        <w:snapToGrid/>
        <w:spacing w:line="57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河北大城经济开发区管理委员会2019年度部门预算中支出预算的总体情况。2019年支出预算7262.39万元，其中基本支出542.59万元，包括人员经费469.9万元和日常公用经费72.69万元；项目支出6719.8万元，全部为本级支出，主要为招商中心租金、经开区招商宣传推介费、博士后高新技术研究院资金、阜草干渠护坡工程、偿还市政二公司工程款、气雾剂产业园积水主管道工程项目、气雾剂一号路积水工程款、征地补偿款、土地流转资金、民兵训练基地征地资金等。</w:t>
      </w:r>
    </w:p>
    <w:p>
      <w:pPr>
        <w:keepNext w:val="0"/>
        <w:keepLines w:val="0"/>
        <w:pageBreakBefore w:val="0"/>
        <w:widowControl w:val="0"/>
        <w:kinsoku/>
        <w:wordWrap/>
        <w:overflowPunct/>
        <w:topLinePunct w:val="0"/>
        <w:bidi w:val="0"/>
        <w:snapToGrid/>
        <w:spacing w:line="570" w:lineRule="exact"/>
        <w:ind w:right="0" w:rightChars="0" w:firstLine="64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3、比上年增减情况</w:t>
      </w:r>
    </w:p>
    <w:p>
      <w:pPr>
        <w:keepNext w:val="0"/>
        <w:keepLines w:val="0"/>
        <w:pageBreakBefore w:val="0"/>
        <w:widowControl w:val="0"/>
        <w:kinsoku/>
        <w:wordWrap/>
        <w:overflowPunct/>
        <w:topLinePunct w:val="0"/>
        <w:bidi w:val="0"/>
        <w:snapToGrid/>
        <w:spacing w:line="57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2019年预算收支安排7262.39万元，较2018年预算增加580.34万元，其中：基本支出增加75.38万元，主要为人员经费支出；项目支出增加504.96万元，主要为民兵训练基地征地资金项目支出。</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right="0" w:rightChars="0" w:firstLine="640" w:firstLineChars="200"/>
        <w:jc w:val="left"/>
        <w:textAlignment w:val="auto"/>
        <w:outlineLvl w:val="9"/>
        <w:rPr>
          <w:rFonts w:ascii="Times New Roman" w:hAnsi="Times New Roman" w:eastAsia="黑体"/>
          <w:sz w:val="32"/>
          <w:szCs w:val="32"/>
        </w:rPr>
      </w:pPr>
      <w:r>
        <w:rPr>
          <w:rFonts w:hint="eastAsia" w:ascii="Times New Roman" w:hAnsi="黑体" w:eastAsia="黑体"/>
          <w:sz w:val="32"/>
          <w:szCs w:val="32"/>
        </w:rPr>
        <w:t>三、机关运行经费安排情况</w:t>
      </w:r>
    </w:p>
    <w:p>
      <w:pPr>
        <w:keepNext w:val="0"/>
        <w:keepLines w:val="0"/>
        <w:pageBreakBefore w:val="0"/>
        <w:widowControl w:val="0"/>
        <w:kinsoku/>
        <w:wordWrap/>
        <w:overflowPunct/>
        <w:topLinePunct w:val="0"/>
        <w:bidi w:val="0"/>
        <w:snapToGrid/>
        <w:spacing w:line="57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2019年，我部门机关运行经费共计安排72.69万元，主要用于我部门的日常维修、办公用房水电费、办公用房取暖费、公务用车运行维护费等日常运行支出。</w:t>
      </w:r>
    </w:p>
    <w:p>
      <w:pPr>
        <w:keepNext w:val="0"/>
        <w:keepLines w:val="0"/>
        <w:pageBreakBefore w:val="0"/>
        <w:widowControl w:val="0"/>
        <w:kinsoku/>
        <w:wordWrap/>
        <w:overflowPunct/>
        <w:topLinePunct w:val="0"/>
        <w:autoSpaceDE w:val="0"/>
        <w:autoSpaceDN w:val="0"/>
        <w:bidi w:val="0"/>
        <w:adjustRightInd w:val="0"/>
        <w:snapToGrid/>
        <w:spacing w:line="570" w:lineRule="exact"/>
        <w:ind w:left="0" w:leftChars="0" w:right="0" w:rightChars="0" w:firstLine="640" w:firstLineChars="200"/>
        <w:jc w:val="left"/>
        <w:textAlignment w:val="auto"/>
        <w:outlineLvl w:val="9"/>
        <w:rPr>
          <w:rFonts w:hint="eastAsia" w:ascii="Times New Roman" w:hAnsi="黑体" w:eastAsia="黑体"/>
          <w:sz w:val="32"/>
          <w:szCs w:val="32"/>
        </w:rPr>
      </w:pPr>
      <w:r>
        <w:rPr>
          <w:rFonts w:hint="eastAsia" w:ascii="Times New Roman" w:hAnsi="黑体" w:eastAsia="黑体"/>
          <w:sz w:val="32"/>
          <w:szCs w:val="32"/>
        </w:rPr>
        <w:t>四、财政拨款“三公”经费预算情况及增减变化原因</w:t>
      </w:r>
    </w:p>
    <w:p>
      <w:pPr>
        <w:keepNext w:val="0"/>
        <w:keepLines w:val="0"/>
        <w:pageBreakBefore w:val="0"/>
        <w:widowControl w:val="0"/>
        <w:kinsoku/>
        <w:wordWrap/>
        <w:overflowPunct/>
        <w:topLinePunct w:val="0"/>
        <w:bidi w:val="0"/>
        <w:snapToGrid/>
        <w:spacing w:line="570" w:lineRule="exact"/>
        <w:ind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部门财政拨款“三公”经费预算安排10.5万元。其中，因公出国（境）费0万元；公务用车购置及运维费10.5万元（其中：公务用车购置费为0万元，公务用车运维费10.5万元)；公务接待费0万元。与2018年相比减少6万</w:t>
      </w:r>
      <w:bookmarkStart w:id="4" w:name="_GoBack"/>
      <w:bookmarkEnd w:id="4"/>
      <w:r>
        <w:rPr>
          <w:rFonts w:hint="eastAsia" w:ascii="仿宋_GB2312" w:hAnsi="仿宋_GB2312" w:eastAsia="仿宋_GB2312" w:cs="仿宋_GB2312"/>
          <w:sz w:val="32"/>
          <w:szCs w:val="32"/>
        </w:rPr>
        <w:t>元，其中：公务用车购置及运维费减少4万元（其中：公务用车运维费减少4万元)，主要原因是我部门切实落实勤俭节约各项规定，压减公车运行经费支出；公务接待费减少2万元，主要原因是我部门切实落实勤俭节约各项规定，严格控制公务接待费支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ascii="Times New Roman" w:hAnsi="Times New Roman" w:eastAsia="黑体"/>
          <w:sz w:val="32"/>
          <w:szCs w:val="32"/>
        </w:rPr>
      </w:pPr>
      <w:r>
        <w:rPr>
          <w:rFonts w:hint="eastAsia" w:ascii="Times New Roman" w:hAnsi="黑体" w:eastAsia="黑体"/>
          <w:sz w:val="32"/>
          <w:szCs w:val="32"/>
        </w:rPr>
        <w:t>五、绩效预算信息</w:t>
      </w:r>
    </w:p>
    <w:p>
      <w:pPr>
        <w:keepNext w:val="0"/>
        <w:keepLines w:val="0"/>
        <w:pageBreakBefore w:val="0"/>
        <w:widowControl w:val="0"/>
        <w:kinsoku/>
        <w:wordWrap/>
        <w:overflowPunct/>
        <w:topLinePunct w:val="0"/>
        <w:bidi w:val="0"/>
        <w:snapToGrid/>
        <w:spacing w:line="570" w:lineRule="exact"/>
        <w:ind w:right="0" w:rightChars="0" w:firstLine="31680" w:firstLineChars="200"/>
        <w:jc w:val="left"/>
        <w:textAlignment w:val="auto"/>
        <w:outlineLvl w:val="9"/>
        <w:rPr>
          <w:rFonts w:hint="eastAsia" w:ascii="Times New Roman" w:hAnsi="Times New Roman" w:eastAsia="方正书宋_GBK" w:cs="Times New Roman"/>
          <w:b/>
          <w:bCs/>
          <w:szCs w:val="24"/>
        </w:rPr>
      </w:pPr>
      <w:bookmarkStart w:id="0" w:name="_Toc471398463"/>
      <w:r>
        <w:rPr>
          <w:rFonts w:hint="eastAsia" w:ascii="Times New Roman" w:hAnsi="Times New Roman" w:eastAsia="楷体_GB2312"/>
          <w:b/>
          <w:sz w:val="32"/>
          <w:szCs w:val="32"/>
        </w:rPr>
        <w:t>总体绩效目标：</w:t>
      </w:r>
    </w:p>
    <w:p>
      <w:pPr>
        <w:keepNext w:val="0"/>
        <w:keepLines w:val="0"/>
        <w:pageBreakBefore w:val="0"/>
        <w:widowControl w:val="0"/>
        <w:kinsoku/>
        <w:wordWrap/>
        <w:overflowPunct/>
        <w:topLinePunct w:val="0"/>
        <w:bidi w:val="0"/>
        <w:snapToGrid/>
        <w:spacing w:line="570" w:lineRule="exact"/>
        <w:ind w:right="0" w:rightChars="0" w:firstLine="640"/>
        <w:textAlignment w:val="auto"/>
        <w:outlineLvl w:val="9"/>
        <w:rPr>
          <w:rFonts w:hint="eastAsia" w:ascii="Times New Roman" w:hAnsi="Times New Roman" w:eastAsia="楷体_GB2312"/>
          <w:b/>
          <w:sz w:val="32"/>
          <w:szCs w:val="32"/>
        </w:rPr>
      </w:pPr>
      <w:r>
        <w:rPr>
          <w:rFonts w:hint="eastAsia" w:ascii="仿宋_GB2312" w:hAnsi="仿宋_GB2312" w:eastAsia="仿宋_GB2312" w:cs="仿宋_GB2312"/>
          <w:sz w:val="32"/>
          <w:szCs w:val="32"/>
        </w:rPr>
        <w:t>加大农村生态环境整治力度，打造绿色宜居乡村，改善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村街生态环境质量;加大植树造林工作力度，完成县局下达绿化任务，完成龙街路、浦东路深圳大街道路两旁树木养护工作;加大安全生产及鞭炮治理工作力度，在园区辖区村街开展安全生产执法检查及鞭炮整治工作，检查次数不低于4次;加大市场监管力度，促进税收工作，完成全年税收任务;加大建档立卡贫困户扶贫工作，引导贫困户致富不低于</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户;加大招商引资项目建设力度，亿元项目5个以上，外出招商20次以上。</w:t>
      </w:r>
    </w:p>
    <w:p>
      <w:pPr>
        <w:keepNext w:val="0"/>
        <w:keepLines w:val="0"/>
        <w:pageBreakBefore w:val="0"/>
        <w:widowControl w:val="0"/>
        <w:kinsoku/>
        <w:wordWrap/>
        <w:overflowPunct/>
        <w:topLinePunct w:val="0"/>
        <w:bidi w:val="0"/>
        <w:snapToGrid/>
        <w:spacing w:line="570" w:lineRule="exact"/>
        <w:ind w:right="0" w:rightChars="0" w:firstLine="560"/>
        <w:textAlignment w:val="auto"/>
        <w:outlineLvl w:val="9"/>
        <w:rPr>
          <w:rFonts w:hint="eastAsia" w:ascii="Times New Roman" w:hAnsi="Times New Roman" w:eastAsia="楷体_GB2312"/>
          <w:b/>
          <w:sz w:val="32"/>
          <w:szCs w:val="32"/>
        </w:rPr>
      </w:pPr>
      <w:r>
        <w:rPr>
          <w:rFonts w:hint="eastAsia" w:ascii="Times New Roman" w:hAnsi="Times New Roman" w:eastAsia="楷体_GB2312"/>
          <w:b/>
          <w:sz w:val="32"/>
          <w:szCs w:val="32"/>
        </w:rPr>
        <w:t>部门职责及工作活动绩效目标指标：</w:t>
      </w:r>
    </w:p>
    <w:bookmarkEnd w:id="0"/>
    <w:p>
      <w:pPr>
        <w:spacing w:line="584" w:lineRule="exact"/>
        <w:jc w:val="center"/>
        <w:outlineLvl w:val="0"/>
        <w:rPr>
          <w:rFonts w:hint="eastAsia" w:ascii="仿宋_GB2312" w:hAnsi="仿宋_GB2312" w:eastAsia="仿宋_GB2312" w:cs="仿宋_GB2312"/>
          <w:b/>
          <w:sz w:val="32"/>
        </w:rPr>
      </w:pPr>
      <w:bookmarkStart w:id="1" w:name="_Toc504489147"/>
      <w:r>
        <w:rPr>
          <w:rFonts w:hint="eastAsia" w:ascii="仿宋_GB2312" w:hAnsi="仿宋_GB2312" w:eastAsia="仿宋_GB2312" w:cs="仿宋_GB2312"/>
          <w:b/>
          <w:sz w:val="32"/>
        </w:rPr>
        <w:t>部门职责-工作活动绩效目标</w:t>
      </w:r>
      <w:bookmarkEnd w:id="1"/>
    </w:p>
    <w:p>
      <w:pPr>
        <w:spacing w:line="584" w:lineRule="exact"/>
        <w:jc w:val="left"/>
        <w:outlineLvl w:val="0"/>
        <w:rPr>
          <w:rFonts w:hint="eastAsia" w:ascii="仿宋_GB2312" w:hAnsi="仿宋_GB2312" w:eastAsia="仿宋_GB2312" w:cs="仿宋_GB2312"/>
        </w:rPr>
      </w:pPr>
    </w:p>
    <w:tbl>
      <w:tblPr>
        <w:tblStyle w:val="10"/>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514河北大城经济开发区管理委员会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职责活动</w:t>
            </w:r>
          </w:p>
        </w:tc>
        <w:tc>
          <w:tcPr>
            <w:tcW w:w="1276" w:type="dxa"/>
            <w:vMerge w:val="restart"/>
            <w:vAlign w:val="center"/>
          </w:tcPr>
          <w:p>
            <w:pPr>
              <w:spacing w:line="30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年度预算数</w:t>
            </w:r>
          </w:p>
        </w:tc>
        <w:tc>
          <w:tcPr>
            <w:tcW w:w="2976" w:type="dxa"/>
            <w:vMerge w:val="restart"/>
            <w:vAlign w:val="center"/>
          </w:tcPr>
          <w:p>
            <w:pPr>
              <w:spacing w:line="30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内容描述</w:t>
            </w:r>
          </w:p>
        </w:tc>
        <w:tc>
          <w:tcPr>
            <w:tcW w:w="2976" w:type="dxa"/>
            <w:vMerge w:val="restart"/>
            <w:vAlign w:val="center"/>
          </w:tcPr>
          <w:p>
            <w:pPr>
              <w:spacing w:line="30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绩效目标</w:t>
            </w:r>
          </w:p>
        </w:tc>
        <w:tc>
          <w:tcPr>
            <w:tcW w:w="1417" w:type="dxa"/>
            <w:vMerge w:val="restart"/>
            <w:vAlign w:val="center"/>
          </w:tcPr>
          <w:p>
            <w:pPr>
              <w:spacing w:line="30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绩效指标</w:t>
            </w:r>
          </w:p>
        </w:tc>
        <w:tc>
          <w:tcPr>
            <w:tcW w:w="2948" w:type="dxa"/>
            <w:gridSpan w:val="4"/>
            <w:vAlign w:val="center"/>
          </w:tcPr>
          <w:p>
            <w:pPr>
              <w:spacing w:line="30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center"/>
              <w:rPr>
                <w:rFonts w:hint="eastAsia" w:asciiTheme="minorEastAsia" w:hAnsiTheme="minorEastAsia" w:eastAsiaTheme="minorEastAsia" w:cstheme="minorEastAsia"/>
                <w:b/>
                <w:bCs/>
                <w:szCs w:val="24"/>
              </w:rPr>
            </w:pPr>
          </w:p>
        </w:tc>
        <w:tc>
          <w:tcPr>
            <w:tcW w:w="1276" w:type="dxa"/>
            <w:vMerge w:val="continue"/>
            <w:vAlign w:val="center"/>
          </w:tcPr>
          <w:p>
            <w:pPr>
              <w:spacing w:line="300" w:lineRule="exact"/>
              <w:jc w:val="center"/>
              <w:rPr>
                <w:rFonts w:hint="eastAsia" w:asciiTheme="minorEastAsia" w:hAnsiTheme="minorEastAsia" w:eastAsiaTheme="minorEastAsia" w:cstheme="minorEastAsia"/>
                <w:b/>
                <w:bCs/>
                <w:szCs w:val="24"/>
              </w:rPr>
            </w:pPr>
          </w:p>
        </w:tc>
        <w:tc>
          <w:tcPr>
            <w:tcW w:w="2976" w:type="dxa"/>
            <w:vMerge w:val="continue"/>
            <w:vAlign w:val="center"/>
          </w:tcPr>
          <w:p>
            <w:pPr>
              <w:spacing w:line="300" w:lineRule="exact"/>
              <w:jc w:val="center"/>
              <w:rPr>
                <w:rFonts w:hint="eastAsia" w:asciiTheme="minorEastAsia" w:hAnsiTheme="minorEastAsia" w:eastAsiaTheme="minorEastAsia" w:cstheme="minorEastAsia"/>
                <w:b/>
                <w:bCs/>
                <w:szCs w:val="24"/>
              </w:rPr>
            </w:pPr>
          </w:p>
        </w:tc>
        <w:tc>
          <w:tcPr>
            <w:tcW w:w="2976" w:type="dxa"/>
            <w:vMerge w:val="continue"/>
            <w:vAlign w:val="center"/>
          </w:tcPr>
          <w:p>
            <w:pPr>
              <w:spacing w:line="300" w:lineRule="exact"/>
              <w:jc w:val="center"/>
              <w:rPr>
                <w:rFonts w:hint="eastAsia" w:asciiTheme="minorEastAsia" w:hAnsiTheme="minorEastAsia" w:eastAsiaTheme="minorEastAsia" w:cstheme="minorEastAsia"/>
                <w:b/>
                <w:bCs/>
                <w:szCs w:val="24"/>
              </w:rPr>
            </w:pPr>
          </w:p>
        </w:tc>
        <w:tc>
          <w:tcPr>
            <w:tcW w:w="1417" w:type="dxa"/>
            <w:vMerge w:val="continue"/>
            <w:vAlign w:val="center"/>
          </w:tcPr>
          <w:p>
            <w:pPr>
              <w:spacing w:line="300" w:lineRule="exact"/>
              <w:jc w:val="center"/>
              <w:rPr>
                <w:rFonts w:hint="eastAsia" w:asciiTheme="minorEastAsia" w:hAnsiTheme="minorEastAsia" w:eastAsiaTheme="minorEastAsia" w:cstheme="minorEastAsia"/>
                <w:b/>
                <w:bCs/>
                <w:szCs w:val="24"/>
              </w:rPr>
            </w:pPr>
          </w:p>
        </w:tc>
        <w:tc>
          <w:tcPr>
            <w:tcW w:w="737" w:type="dxa"/>
            <w:vAlign w:val="center"/>
          </w:tcPr>
          <w:p>
            <w:pPr>
              <w:spacing w:line="30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优</w:t>
            </w:r>
          </w:p>
        </w:tc>
        <w:tc>
          <w:tcPr>
            <w:tcW w:w="737" w:type="dxa"/>
            <w:vAlign w:val="center"/>
          </w:tcPr>
          <w:p>
            <w:pPr>
              <w:spacing w:line="30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良</w:t>
            </w:r>
          </w:p>
        </w:tc>
        <w:tc>
          <w:tcPr>
            <w:tcW w:w="737" w:type="dxa"/>
            <w:vAlign w:val="center"/>
          </w:tcPr>
          <w:p>
            <w:pPr>
              <w:spacing w:line="30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中</w:t>
            </w:r>
          </w:p>
        </w:tc>
        <w:tc>
          <w:tcPr>
            <w:tcW w:w="737" w:type="dxa"/>
            <w:vAlign w:val="center"/>
          </w:tcPr>
          <w:p>
            <w:pPr>
              <w:spacing w:line="30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bCs/>
                <w:szCs w:val="24"/>
              </w:rPr>
              <w:t>一、综合办公事务</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919.90</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负责工委、管委日常事务，主抓会务活动、公文处理、督查督办、印章管理、值班考勤、、组织建设、宣传、纪检、工会、共青团、妇联设施维护、大宗印刷等工作，非公党建工作，精准扶贫工作，做好环保安全生产工作，完成工委、管委交办的其他工作</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通过建立健全相关制度，强化监督考核，努力提高综合协调、公文处理、后勤保障等各项工作举措，发挥好参谋助手作用，保障招商中心正常运转的实施</w:t>
            </w:r>
          </w:p>
        </w:tc>
        <w:tc>
          <w:tcPr>
            <w:tcW w:w="1417" w:type="dxa"/>
            <w:vAlign w:val="center"/>
          </w:tcPr>
          <w:p>
            <w:pPr>
              <w:spacing w:line="300" w:lineRule="exact"/>
              <w:jc w:val="left"/>
              <w:rPr>
                <w:rFonts w:hint="eastAsia" w:asciiTheme="minorEastAsia" w:hAnsiTheme="minorEastAsia" w:eastAsiaTheme="minorEastAsia" w:cstheme="minorEastAsia"/>
              </w:rPr>
            </w:pPr>
          </w:p>
        </w:tc>
        <w:tc>
          <w:tcPr>
            <w:tcW w:w="737" w:type="dxa"/>
            <w:vAlign w:val="center"/>
          </w:tcPr>
          <w:p>
            <w:pPr>
              <w:spacing w:line="300" w:lineRule="exact"/>
              <w:jc w:val="center"/>
              <w:rPr>
                <w:rFonts w:hint="eastAsia" w:asciiTheme="minorEastAsia" w:hAnsiTheme="minorEastAsia" w:eastAsiaTheme="minorEastAsia" w:cstheme="minorEastAsia"/>
              </w:rPr>
            </w:pPr>
          </w:p>
        </w:tc>
        <w:tc>
          <w:tcPr>
            <w:tcW w:w="737" w:type="dxa"/>
            <w:vAlign w:val="center"/>
          </w:tcPr>
          <w:p>
            <w:pPr>
              <w:spacing w:line="300" w:lineRule="exact"/>
              <w:jc w:val="center"/>
              <w:rPr>
                <w:rFonts w:hint="eastAsia" w:asciiTheme="minorEastAsia" w:hAnsiTheme="minorEastAsia" w:eastAsiaTheme="minorEastAsia" w:cstheme="minorEastAsia"/>
              </w:rPr>
            </w:pPr>
          </w:p>
        </w:tc>
        <w:tc>
          <w:tcPr>
            <w:tcW w:w="737" w:type="dxa"/>
            <w:vAlign w:val="center"/>
          </w:tcPr>
          <w:p>
            <w:pPr>
              <w:spacing w:line="300" w:lineRule="exact"/>
              <w:jc w:val="center"/>
              <w:rPr>
                <w:rFonts w:hint="eastAsia" w:asciiTheme="minorEastAsia" w:hAnsiTheme="minorEastAsia" w:eastAsiaTheme="minorEastAsia" w:cstheme="minorEastAsia"/>
              </w:rPr>
            </w:pPr>
          </w:p>
        </w:tc>
        <w:tc>
          <w:tcPr>
            <w:tcW w:w="737" w:type="dxa"/>
            <w:vAlign w:val="center"/>
          </w:tcPr>
          <w:p>
            <w:pPr>
              <w:spacing w:line="300" w:lineRule="exact"/>
              <w:jc w:val="center"/>
              <w:rPr>
                <w:rFonts w:hint="eastAsia" w:asciiTheme="minorEastAsia" w:hAnsiTheme="minorEastAsia" w:eastAsiaTheme="minorEastAsia" w:cstheme="min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w:t>
            </w:r>
            <w:r>
              <w:rPr>
                <w:rFonts w:hint="eastAsia" w:asciiTheme="minorEastAsia" w:hAnsiTheme="minorEastAsia" w:eastAsiaTheme="minorEastAsia" w:cstheme="minorEastAsia"/>
                <w:b/>
                <w:bCs/>
                <w:szCs w:val="24"/>
              </w:rPr>
              <w:t>1、服务保障</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919.90</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全面细致做好与县委、政府及相关部门的对接，严、快、细、实、高的无缝隙对接，发挥好中枢神经作用，做好办公用品、设备维护、车辆管理、水电暖维护、机关食堂等招商中心正常运转工作，非公党建工作，做好环保安全生产工作</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全方位、多角度做到信息畅通、运转高效，公文处理高标准、高质量，做到有计划、有方案、有制度、有落实，做到服务保障“零差错”</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服务保障完成率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≥95%</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bCs/>
                <w:szCs w:val="24"/>
              </w:rPr>
              <w:t>二、招商引资</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153.00</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收集招商信息，制定相关方案，完成项目接洽洽谈、考察、预审、服务等相关工作，收集招商信息，制定相关方案，完成项目接洽洽谈、考察、预审、服务等相关工作</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通过制定各种招商方案，拟定招商工作流程，协调好招商及项目入园等方面的工作</w:t>
            </w:r>
          </w:p>
        </w:tc>
        <w:tc>
          <w:tcPr>
            <w:tcW w:w="141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　　</w:t>
            </w:r>
            <w:r>
              <w:rPr>
                <w:rFonts w:hint="eastAsia" w:asciiTheme="minorEastAsia" w:hAnsiTheme="minorEastAsia" w:eastAsiaTheme="minorEastAsia" w:cstheme="minorEastAsia"/>
                <w:b/>
                <w:bCs/>
                <w:szCs w:val="24"/>
              </w:rPr>
              <w:t>1、招商投资</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153.00</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收集招商信息，设计考察路线，抓住投资商的关注点，对有意向的项目后续重点跟踪，争取完成签约，制定项目接洽方案，项目接洽，项目预审，对符合入园条件的项目履行其入园程序及审批流程；项目前期服务</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招商宣传资料齐备并有效推介；项目信息收集齐备；招商方案详实可行；掌握招商谈判的主动权，以达到招商签约的目的，接待到位，接洽切中企业关心的要点，重点跟踪，完成项目入园及审批过程中本部门的职责</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招商任务完成率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bCs/>
                <w:szCs w:val="24"/>
              </w:rPr>
              <w:t>三、规划管理</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1369.74</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负责在总体规划的指导下，组织编制园区规划的具体工作，按规定权限负责辖区内工程建设和房产管理的相关工作；协调相关部门对企业安全，环保等不符合法律、法规和相关规定的建设、生产中的问题进行督导检查处置；负责土地测绘巡察保护；负责与上级有关部门的对口工作事宜</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按照园区总体规划管理园区规划事务</w:t>
            </w:r>
          </w:p>
        </w:tc>
        <w:tc>
          <w:tcPr>
            <w:tcW w:w="141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1、基础设施的修建和维护</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1369.74</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对园区路网的绿化及养护，道路修建给水管网等基础设施建设、编制人防、消防等编制规划</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为招商提供交通便利条件，保障良好的办公条件，维护园区形象。</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各项基础设施维修完成率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四、信访事务</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48.00</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负责正常信访、非访、突发性及群体性事件的办理；提供相关服务保障；协助上级信访局处理越级上访；负责经开区工委、管委会交办的其他事项</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畅通信访渠道，减少信访案件，维护社会和谐稳定</w:t>
            </w:r>
          </w:p>
        </w:tc>
        <w:tc>
          <w:tcPr>
            <w:tcW w:w="141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1、处置非访、突发性及群体性事件</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48.00</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协助公安机关维护重点区域的正常工作秩序；处置影响社会政治稳定的各类非访、突发性、群体性事件；负责组织协调、稳控劝返、服务保障园区越级非访工作。</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妥善处置非正常访，维护社会大局和谐稳定。</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信访事项受理及时率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≥75%</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rPr>
            </w:pPr>
            <w:r>
              <w:rPr>
                <w:rFonts w:hint="eastAsia" w:asciiTheme="minorEastAsia" w:hAnsiTheme="minorEastAsia" w:eastAsiaTheme="minorEastAsia" w:cstheme="minorEastAsia"/>
                <w:b/>
                <w:bCs/>
                <w:szCs w:val="24"/>
              </w:rPr>
              <w:t>五、林业生态建设</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48.78</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组织园区造林绿化</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完成省市下达和县委县政府制定的造林任务及全县森林覆盖率考核目标。有效改善生态环境</w:t>
            </w:r>
          </w:p>
        </w:tc>
        <w:tc>
          <w:tcPr>
            <w:tcW w:w="141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1、造林绿化</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48.78</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组织开展园区造林绿化工作</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增加林地面积，提高园区绿化水平和森林覆盖率，改善生态环境</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造林绿化面积完成率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六、组织事务</w:t>
            </w:r>
          </w:p>
        </w:tc>
        <w:tc>
          <w:tcPr>
            <w:tcW w:w="1276" w:type="dxa"/>
            <w:vAlign w:val="center"/>
          </w:tcPr>
          <w:p>
            <w:pPr>
              <w:spacing w:line="300" w:lineRule="exact"/>
              <w:jc w:val="left"/>
              <w:rPr>
                <w:rFonts w:hint="eastAsia" w:asciiTheme="minorEastAsia" w:hAnsiTheme="minorEastAsia" w:eastAsiaTheme="minorEastAsia" w:cstheme="minorEastAsia"/>
                <w:szCs w:val="24"/>
              </w:rPr>
            </w:pP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负责组织工作，党员教育培训，基层组织建设，后进村整顿，换届选举等工作</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完成上级部门交派任务和年初本部门制定的目标任务</w:t>
            </w:r>
          </w:p>
        </w:tc>
        <w:tc>
          <w:tcPr>
            <w:tcW w:w="141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1、基层政权建设</w:t>
            </w:r>
          </w:p>
        </w:tc>
        <w:tc>
          <w:tcPr>
            <w:tcW w:w="1276" w:type="dxa"/>
            <w:vAlign w:val="center"/>
          </w:tcPr>
          <w:p>
            <w:pPr>
              <w:spacing w:line="300" w:lineRule="exact"/>
              <w:jc w:val="left"/>
              <w:rPr>
                <w:rFonts w:hint="eastAsia" w:asciiTheme="minorEastAsia" w:hAnsiTheme="minorEastAsia" w:eastAsiaTheme="minorEastAsia" w:cstheme="minorEastAsia"/>
                <w:szCs w:val="24"/>
              </w:rPr>
            </w:pP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按任务指标完成发展新党员任务并组织相关培训，完成基层支部考核，党费收缴等工作，完成后进村转化工作，完成村两委档案建设完成上级部门交派的工作</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按期全员完成发展新党员，全额上缴党费，参加培训次数，按期完成后进村转化，按期完成两委干部档案，按期保质完成上级交派任务</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培训计划完成率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七、计划生育事务</w:t>
            </w:r>
          </w:p>
        </w:tc>
        <w:tc>
          <w:tcPr>
            <w:tcW w:w="1276" w:type="dxa"/>
            <w:vAlign w:val="center"/>
          </w:tcPr>
          <w:p>
            <w:pPr>
              <w:spacing w:line="300" w:lineRule="exact"/>
              <w:jc w:val="left"/>
              <w:rPr>
                <w:rFonts w:hint="eastAsia" w:asciiTheme="minorEastAsia" w:hAnsiTheme="minorEastAsia" w:eastAsiaTheme="minorEastAsia" w:cstheme="minorEastAsia"/>
                <w:szCs w:val="24"/>
              </w:rPr>
            </w:pP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提供各类计划生育技术服务，建立利益导向机制，开展出生人口性别比治理以及流动人口计划生育管理等各项工作，宣传计生政策，弱势群体救助，日常运转经费</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稳定适度的低生育水平，有效保障计划生育家庭生活水平，提高妇女生殖健康水平，降低出生缺陷的发生，有效遏制出生人口性别比偏高问题，</w:t>
            </w:r>
          </w:p>
        </w:tc>
        <w:tc>
          <w:tcPr>
            <w:tcW w:w="141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1、计划生育服务</w:t>
            </w:r>
          </w:p>
        </w:tc>
        <w:tc>
          <w:tcPr>
            <w:tcW w:w="1276" w:type="dxa"/>
            <w:vAlign w:val="center"/>
          </w:tcPr>
          <w:p>
            <w:pPr>
              <w:spacing w:line="300" w:lineRule="exact"/>
              <w:jc w:val="left"/>
              <w:rPr>
                <w:rFonts w:hint="eastAsia" w:asciiTheme="minorEastAsia" w:hAnsiTheme="minorEastAsia" w:eastAsiaTheme="minorEastAsia" w:cstheme="minorEastAsia"/>
                <w:szCs w:val="24"/>
              </w:rPr>
            </w:pP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开展宣传计生活动，计划生育技术服务活动，建立计生档案</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切实做好本单位计生管理工作，模范执行现行计划生育政策</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计生宣传教育完成率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八、国土资源管理</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4133.70</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负责园区所辖土资源系统综合业务管理</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进一步增强国土资源管理保障能力</w:t>
            </w:r>
          </w:p>
        </w:tc>
        <w:tc>
          <w:tcPr>
            <w:tcW w:w="141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1、征地管理事务</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4133.70</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做好园区征地、拆迁补偿、土地流转及征地相关事务管理工作</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规范做好土地资源的出让、租赁等各项工作</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征地补偿任务完成率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九、民政服务</w:t>
            </w:r>
          </w:p>
        </w:tc>
        <w:tc>
          <w:tcPr>
            <w:tcW w:w="1276" w:type="dxa"/>
            <w:vAlign w:val="center"/>
          </w:tcPr>
          <w:p>
            <w:pPr>
              <w:spacing w:line="300" w:lineRule="exact"/>
              <w:jc w:val="left"/>
              <w:rPr>
                <w:rFonts w:hint="eastAsia" w:asciiTheme="minorEastAsia" w:hAnsiTheme="minorEastAsia" w:eastAsiaTheme="minorEastAsia" w:cstheme="minorEastAsia"/>
                <w:szCs w:val="24"/>
              </w:rPr>
            </w:pP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负责城乡居民最低生活保障、五保供养、医疗救助，殡葬执法，义务兵优待工作。</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完善城乡社会救助制度，实施分类救助，应保尽保,动态管理。做好义务兵家庭优待工作。</w:t>
            </w:r>
          </w:p>
        </w:tc>
        <w:tc>
          <w:tcPr>
            <w:tcW w:w="141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1、社会救助及社会福利管理</w:t>
            </w:r>
          </w:p>
        </w:tc>
        <w:tc>
          <w:tcPr>
            <w:tcW w:w="1276" w:type="dxa"/>
            <w:vMerge w:val="restart"/>
            <w:vAlign w:val="center"/>
          </w:tcPr>
          <w:p>
            <w:pPr>
              <w:spacing w:line="300" w:lineRule="exact"/>
              <w:jc w:val="left"/>
              <w:rPr>
                <w:rFonts w:hint="eastAsia" w:asciiTheme="minorEastAsia" w:hAnsiTheme="minorEastAsia" w:eastAsiaTheme="minorEastAsia" w:cstheme="minorEastAsia"/>
                <w:szCs w:val="24"/>
              </w:rPr>
            </w:pPr>
          </w:p>
        </w:tc>
        <w:tc>
          <w:tcPr>
            <w:tcW w:w="2976" w:type="dxa"/>
            <w:vMerge w:val="restart"/>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w:t>
            </w:r>
          </w:p>
        </w:tc>
        <w:tc>
          <w:tcPr>
            <w:tcW w:w="2976" w:type="dxa"/>
            <w:vMerge w:val="restart"/>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实行动态管理，做到应保尽保、应退尽退。农村五保供养标准、集中供养能力逐步提高。缓解意外事件对特殊困难家庭造成的生活困难。准确核查认定低保家庭经济状况</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申请低保人员核实率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≥25%</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hint="eastAsia" w:asciiTheme="minorEastAsia" w:hAnsiTheme="minorEastAsia" w:eastAsiaTheme="minorEastAsia" w:cstheme="minorEastAsia"/>
                <w:b/>
                <w:bCs/>
                <w:szCs w:val="24"/>
              </w:rPr>
            </w:pPr>
          </w:p>
        </w:tc>
        <w:tc>
          <w:tcPr>
            <w:tcW w:w="1276" w:type="dxa"/>
            <w:vMerge w:val="continue"/>
            <w:vAlign w:val="center"/>
          </w:tcPr>
          <w:p>
            <w:pPr>
              <w:spacing w:line="300" w:lineRule="exact"/>
              <w:jc w:val="left"/>
              <w:rPr>
                <w:rFonts w:hint="eastAsia" w:asciiTheme="minorEastAsia" w:hAnsiTheme="minorEastAsia" w:eastAsiaTheme="minorEastAsia" w:cstheme="minorEastAsia"/>
                <w:szCs w:val="24"/>
              </w:rPr>
            </w:pPr>
          </w:p>
        </w:tc>
        <w:tc>
          <w:tcPr>
            <w:tcW w:w="2976" w:type="dxa"/>
            <w:vMerge w:val="continue"/>
            <w:vAlign w:val="center"/>
          </w:tcPr>
          <w:p>
            <w:pPr>
              <w:spacing w:line="300" w:lineRule="exact"/>
              <w:jc w:val="left"/>
              <w:rPr>
                <w:rFonts w:hint="eastAsia" w:asciiTheme="minorEastAsia" w:hAnsiTheme="minorEastAsia" w:eastAsiaTheme="minorEastAsia" w:cstheme="minorEastAsia"/>
                <w:szCs w:val="24"/>
              </w:rPr>
            </w:pPr>
          </w:p>
        </w:tc>
        <w:tc>
          <w:tcPr>
            <w:tcW w:w="2976" w:type="dxa"/>
            <w:vMerge w:val="continue"/>
            <w:vAlign w:val="center"/>
          </w:tcPr>
          <w:p>
            <w:pPr>
              <w:spacing w:line="300" w:lineRule="exact"/>
              <w:jc w:val="left"/>
              <w:rPr>
                <w:rFonts w:hint="eastAsia" w:asciiTheme="minorEastAsia" w:hAnsiTheme="minorEastAsia" w:eastAsiaTheme="minorEastAsia" w:cstheme="minorEastAsia"/>
                <w:szCs w:val="24"/>
              </w:rPr>
            </w:pP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城乡居民低保保障率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十、自然生态保护</w:t>
            </w:r>
          </w:p>
        </w:tc>
        <w:tc>
          <w:tcPr>
            <w:tcW w:w="1276" w:type="dxa"/>
            <w:vAlign w:val="center"/>
          </w:tcPr>
          <w:p>
            <w:pPr>
              <w:spacing w:line="300" w:lineRule="exact"/>
              <w:jc w:val="left"/>
              <w:rPr>
                <w:rFonts w:hint="eastAsia" w:asciiTheme="minorEastAsia" w:hAnsiTheme="minorEastAsia" w:eastAsiaTheme="minorEastAsia" w:cstheme="minorEastAsia"/>
                <w:szCs w:val="24"/>
              </w:rPr>
            </w:pP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强化生态保护和监察监管，提高自然保护区建设水平，加强生物多样性保护力度，提升农村生态环境质量。</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加强自然生态保护。</w:t>
            </w:r>
          </w:p>
        </w:tc>
        <w:tc>
          <w:tcPr>
            <w:tcW w:w="141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1、农村环境综合整治</w:t>
            </w:r>
          </w:p>
        </w:tc>
        <w:tc>
          <w:tcPr>
            <w:tcW w:w="1276" w:type="dxa"/>
            <w:vAlign w:val="center"/>
          </w:tcPr>
          <w:p>
            <w:pPr>
              <w:spacing w:line="300" w:lineRule="exact"/>
              <w:jc w:val="left"/>
              <w:rPr>
                <w:rFonts w:hint="eastAsia" w:asciiTheme="minorEastAsia" w:hAnsiTheme="minorEastAsia" w:eastAsiaTheme="minorEastAsia" w:cstheme="minorEastAsia"/>
                <w:szCs w:val="24"/>
              </w:rPr>
            </w:pP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负责提升园区整体环境，优化招商形象，</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达到无垃圾积存，无点火冒烟，无有碍观瞻，提升经开区环境整体形象</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试点、示范区域村庄垃圾处理率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十一、环境污染综合防治</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46.68</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贯彻落实大气、水体、固体废物、化学品、机动车等污染防治管理制度，开展饮用水水源地环境保护。</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加强大气、水体、机动车污染防治，加强固体废弃物、重金属等重点污染治理工程的防治工作。</w:t>
            </w:r>
          </w:p>
        </w:tc>
        <w:tc>
          <w:tcPr>
            <w:tcW w:w="141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c>
          <w:tcPr>
            <w:tcW w:w="737" w:type="dxa"/>
            <w:vAlign w:val="center"/>
          </w:tcPr>
          <w:p>
            <w:pPr>
              <w:spacing w:line="300" w:lineRule="exact"/>
              <w:jc w:val="left"/>
              <w:rPr>
                <w:rFonts w:hint="eastAsia" w:asciiTheme="minorEastAsia" w:hAnsiTheme="minorEastAsia" w:eastAsiaTheme="minorEastAsia" w:cs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1、大气污染防治</w:t>
            </w:r>
          </w:p>
        </w:tc>
        <w:tc>
          <w:tcPr>
            <w:tcW w:w="12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46.68</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重点对PM、VOC、二氧化硫等大气污染物进行综合防治，推动城镇环境空气质量改善。</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加强大气污染防治，推动环境空气质量改善。</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污染物排放消减率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　　2、水污染防治</w:t>
            </w:r>
          </w:p>
        </w:tc>
        <w:tc>
          <w:tcPr>
            <w:tcW w:w="1276" w:type="dxa"/>
            <w:vAlign w:val="center"/>
          </w:tcPr>
          <w:p>
            <w:pPr>
              <w:spacing w:line="300" w:lineRule="exact"/>
              <w:jc w:val="left"/>
              <w:rPr>
                <w:rFonts w:hint="eastAsia" w:asciiTheme="minorEastAsia" w:hAnsiTheme="minorEastAsia" w:eastAsiaTheme="minorEastAsia" w:cstheme="minorEastAsia"/>
                <w:szCs w:val="24"/>
              </w:rPr>
            </w:pP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重点做好污水处理、渗坑治理、河流治理与保护等工作</w:t>
            </w:r>
          </w:p>
        </w:tc>
        <w:tc>
          <w:tcPr>
            <w:tcW w:w="2976"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加强水污染防治，改善人居环境。</w:t>
            </w:r>
          </w:p>
        </w:tc>
        <w:tc>
          <w:tcPr>
            <w:tcW w:w="141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渗坑治理工作完成率</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c>
          <w:tcPr>
            <w:tcW w:w="737" w:type="dxa"/>
            <w:vAlign w:val="center"/>
          </w:tcPr>
          <w:p>
            <w:pPr>
              <w:spacing w:line="300" w:lineRule="exact"/>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＜70%</w:t>
            </w:r>
          </w:p>
        </w:tc>
      </w:tr>
    </w:tbl>
    <w:p>
      <w:pPr>
        <w:spacing w:line="584" w:lineRule="exact"/>
        <w:jc w:val="left"/>
        <w:outlineLvl w:val="0"/>
        <w:rPr>
          <w:rFonts w:hint="eastAsia" w:asciiTheme="minorEastAsia" w:hAnsiTheme="minorEastAsia" w:eastAsiaTheme="minorEastAsia" w:cstheme="minorEastAsia"/>
        </w:rPr>
        <w:sectPr>
          <w:footerReference r:id="rId3" w:type="default"/>
          <w:pgSz w:w="16839" w:h="11907" w:orient="landscape"/>
          <w:pgMar w:top="1803" w:right="1440" w:bottom="1803" w:left="1440" w:header="851" w:footer="992" w:gutter="0"/>
          <w:cols w:space="0" w:num="1"/>
          <w:titlePg/>
          <w:rtlGutter w:val="0"/>
          <w:docGrid w:type="lines" w:linePitch="319" w:charSpace="0"/>
        </w:sectPr>
      </w:pPr>
    </w:p>
    <w:p>
      <w:pPr>
        <w:autoSpaceDE w:val="0"/>
        <w:autoSpaceDN w:val="0"/>
        <w:adjustRightInd w:val="0"/>
        <w:spacing w:line="584" w:lineRule="exact"/>
        <w:ind w:firstLine="3168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31680" w:firstLineChars="200"/>
        <w:outlineLvl w:val="0"/>
        <w:rPr>
          <w:rFonts w:hint="eastAsia" w:ascii="仿宋_GB2312" w:hAnsi="仿宋_GB2312" w:eastAsia="仿宋_GB2312" w:cs="仿宋_GB2312"/>
          <w:sz w:val="32"/>
          <w:szCs w:val="24"/>
        </w:rPr>
      </w:pPr>
      <w:bookmarkStart w:id="2" w:name="_Toc471398468"/>
      <w:r>
        <w:rPr>
          <w:rFonts w:hint="eastAsia" w:ascii="仿宋_GB2312" w:hAnsi="仿宋_GB2312" w:eastAsia="仿宋_GB2312" w:cs="仿宋_GB2312"/>
          <w:sz w:val="32"/>
          <w:szCs w:val="24"/>
        </w:rPr>
        <w:t>2019年，我部门安排政府采购预算471.5万元。具体内容见下表。</w:t>
      </w:r>
    </w:p>
    <w:bookmarkEnd w:id="2"/>
    <w:p>
      <w:pPr>
        <w:spacing w:line="584" w:lineRule="exact"/>
        <w:jc w:val="center"/>
        <w:outlineLvl w:val="0"/>
        <w:rPr>
          <w:rFonts w:hint="eastAsia" w:ascii="仿宋_GB2312" w:hAnsi="仿宋_GB2312" w:eastAsia="仿宋_GB2312" w:cs="仿宋_GB2312"/>
          <w:b/>
          <w:bCs/>
          <w:sz w:val="32"/>
        </w:rPr>
      </w:pPr>
      <w:bookmarkStart w:id="3" w:name="_Toc504489153"/>
      <w:r>
        <w:rPr>
          <w:rFonts w:hint="eastAsia" w:ascii="仿宋_GB2312" w:hAnsi="仿宋_GB2312" w:eastAsia="仿宋_GB2312" w:cs="仿宋_GB2312"/>
          <w:b/>
          <w:bCs/>
          <w:sz w:val="32"/>
        </w:rPr>
        <w:t>部门政府采购预算</w:t>
      </w:r>
      <w:bookmarkEnd w:id="3"/>
    </w:p>
    <w:tbl>
      <w:tblPr>
        <w:tblStyle w:val="10"/>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514河北大城经济开发区管理委员会</w:t>
            </w:r>
          </w:p>
        </w:tc>
        <w:tc>
          <w:tcPr>
            <w:tcW w:w="6693" w:type="dxa"/>
            <w:gridSpan w:val="7"/>
            <w:tcBorders>
              <w:top w:val="single" w:color="FFFFFF" w:sz="6" w:space="0"/>
              <w:left w:val="single" w:color="FFFFFF" w:sz="6" w:space="0"/>
              <w:right w:val="single" w:color="FFFFFF" w:sz="6" w:space="0"/>
            </w:tcBorders>
            <w:vAlign w:val="center"/>
          </w:tcPr>
          <w:p>
            <w:pPr>
              <w:spacing w:line="300" w:lineRule="exact"/>
              <w:jc w:val="right"/>
              <w:rPr>
                <w:rFonts w:hint="eastAsia" w:ascii="仿宋_GB2312" w:hAnsi="仿宋_GB2312" w:eastAsia="仿宋_GB2312" w:cs="仿宋_GB2312"/>
                <w:sz w:val="24"/>
              </w:rPr>
            </w:pPr>
            <w:r>
              <w:rPr>
                <w:rFonts w:hint="eastAsia" w:ascii="仿宋_GB2312" w:hAnsi="仿宋_GB2312" w:eastAsia="仿宋_GB2312" w:cs="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政府采购项目来源</w:t>
            </w:r>
          </w:p>
        </w:tc>
        <w:tc>
          <w:tcPr>
            <w:tcW w:w="974" w:type="dxa"/>
            <w:vMerge w:val="restart"/>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采购物品名称</w:t>
            </w:r>
          </w:p>
        </w:tc>
        <w:tc>
          <w:tcPr>
            <w:tcW w:w="986" w:type="dxa"/>
            <w:vMerge w:val="restart"/>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政府采购目录序号</w:t>
            </w:r>
          </w:p>
        </w:tc>
        <w:tc>
          <w:tcPr>
            <w:tcW w:w="760" w:type="dxa"/>
            <w:vMerge w:val="restart"/>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数量  单位</w:t>
            </w:r>
          </w:p>
        </w:tc>
        <w:tc>
          <w:tcPr>
            <w:tcW w:w="760" w:type="dxa"/>
            <w:vMerge w:val="restart"/>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数量</w:t>
            </w:r>
          </w:p>
        </w:tc>
        <w:tc>
          <w:tcPr>
            <w:tcW w:w="848" w:type="dxa"/>
            <w:vMerge w:val="restart"/>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单价</w:t>
            </w:r>
          </w:p>
        </w:tc>
        <w:tc>
          <w:tcPr>
            <w:tcW w:w="6693" w:type="dxa"/>
            <w:gridSpan w:val="7"/>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项目名称</w:t>
            </w:r>
          </w:p>
        </w:tc>
        <w:tc>
          <w:tcPr>
            <w:tcW w:w="1099" w:type="dxa"/>
            <w:vMerge w:val="restart"/>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预算资金</w:t>
            </w:r>
          </w:p>
        </w:tc>
        <w:tc>
          <w:tcPr>
            <w:tcW w:w="974" w:type="dxa"/>
            <w:vMerge w:val="continue"/>
            <w:vAlign w:val="center"/>
          </w:tcPr>
          <w:p>
            <w:pPr>
              <w:spacing w:line="300" w:lineRule="exact"/>
              <w:jc w:val="center"/>
              <w:rPr>
                <w:rFonts w:hint="eastAsia" w:ascii="仿宋_GB2312" w:hAnsi="仿宋_GB2312" w:eastAsia="仿宋_GB2312" w:cs="仿宋_GB2312"/>
                <w:b/>
              </w:rPr>
            </w:pPr>
          </w:p>
        </w:tc>
        <w:tc>
          <w:tcPr>
            <w:tcW w:w="986" w:type="dxa"/>
            <w:vMerge w:val="continue"/>
            <w:vAlign w:val="center"/>
          </w:tcPr>
          <w:p>
            <w:pPr>
              <w:spacing w:line="300" w:lineRule="exact"/>
              <w:jc w:val="center"/>
              <w:rPr>
                <w:rFonts w:hint="eastAsia" w:ascii="仿宋_GB2312" w:hAnsi="仿宋_GB2312" w:eastAsia="仿宋_GB2312" w:cs="仿宋_GB2312"/>
                <w:b/>
              </w:rPr>
            </w:pPr>
          </w:p>
        </w:tc>
        <w:tc>
          <w:tcPr>
            <w:tcW w:w="760" w:type="dxa"/>
            <w:vMerge w:val="continue"/>
            <w:vAlign w:val="center"/>
          </w:tcPr>
          <w:p>
            <w:pPr>
              <w:spacing w:line="300" w:lineRule="exact"/>
              <w:jc w:val="center"/>
              <w:rPr>
                <w:rFonts w:hint="eastAsia" w:ascii="仿宋_GB2312" w:hAnsi="仿宋_GB2312" w:eastAsia="仿宋_GB2312" w:cs="仿宋_GB2312"/>
                <w:b/>
              </w:rPr>
            </w:pPr>
          </w:p>
        </w:tc>
        <w:tc>
          <w:tcPr>
            <w:tcW w:w="760" w:type="dxa"/>
            <w:vMerge w:val="continue"/>
            <w:vAlign w:val="center"/>
          </w:tcPr>
          <w:p>
            <w:pPr>
              <w:spacing w:line="300" w:lineRule="exact"/>
              <w:jc w:val="center"/>
              <w:rPr>
                <w:rFonts w:hint="eastAsia" w:ascii="仿宋_GB2312" w:hAnsi="仿宋_GB2312" w:eastAsia="仿宋_GB2312" w:cs="仿宋_GB2312"/>
                <w:b/>
              </w:rPr>
            </w:pPr>
          </w:p>
        </w:tc>
        <w:tc>
          <w:tcPr>
            <w:tcW w:w="848" w:type="dxa"/>
            <w:vMerge w:val="continue"/>
            <w:vAlign w:val="center"/>
          </w:tcPr>
          <w:p>
            <w:pPr>
              <w:spacing w:line="300" w:lineRule="exact"/>
              <w:jc w:val="center"/>
              <w:rPr>
                <w:rFonts w:hint="eastAsia" w:ascii="仿宋_GB2312" w:hAnsi="仿宋_GB2312" w:eastAsia="仿宋_GB2312" w:cs="仿宋_GB2312"/>
                <w:b/>
              </w:rPr>
            </w:pPr>
          </w:p>
        </w:tc>
        <w:tc>
          <w:tcPr>
            <w:tcW w:w="961" w:type="dxa"/>
            <w:vMerge w:val="restart"/>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总计</w:t>
            </w:r>
          </w:p>
        </w:tc>
        <w:tc>
          <w:tcPr>
            <w:tcW w:w="4811" w:type="dxa"/>
            <w:gridSpan w:val="5"/>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当年部门预算安排资金</w:t>
            </w:r>
          </w:p>
        </w:tc>
        <w:tc>
          <w:tcPr>
            <w:tcW w:w="921" w:type="dxa"/>
            <w:vMerge w:val="restart"/>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vAlign w:val="center"/>
          </w:tcPr>
          <w:p>
            <w:pPr>
              <w:spacing w:line="300" w:lineRule="exact"/>
              <w:jc w:val="center"/>
              <w:rPr>
                <w:rFonts w:hint="eastAsia" w:ascii="仿宋_GB2312" w:hAnsi="仿宋_GB2312" w:eastAsia="仿宋_GB2312" w:cs="仿宋_GB2312"/>
                <w:b/>
              </w:rPr>
            </w:pPr>
          </w:p>
        </w:tc>
        <w:tc>
          <w:tcPr>
            <w:tcW w:w="1099" w:type="dxa"/>
            <w:vMerge w:val="continue"/>
            <w:vAlign w:val="center"/>
          </w:tcPr>
          <w:p>
            <w:pPr>
              <w:spacing w:line="300" w:lineRule="exact"/>
              <w:jc w:val="center"/>
              <w:rPr>
                <w:rFonts w:hint="eastAsia" w:ascii="仿宋_GB2312" w:hAnsi="仿宋_GB2312" w:eastAsia="仿宋_GB2312" w:cs="仿宋_GB2312"/>
                <w:b/>
              </w:rPr>
            </w:pPr>
          </w:p>
        </w:tc>
        <w:tc>
          <w:tcPr>
            <w:tcW w:w="974" w:type="dxa"/>
            <w:vMerge w:val="continue"/>
            <w:vAlign w:val="center"/>
          </w:tcPr>
          <w:p>
            <w:pPr>
              <w:spacing w:line="300" w:lineRule="exact"/>
              <w:jc w:val="center"/>
              <w:rPr>
                <w:rFonts w:hint="eastAsia" w:ascii="仿宋_GB2312" w:hAnsi="仿宋_GB2312" w:eastAsia="仿宋_GB2312" w:cs="仿宋_GB2312"/>
                <w:b/>
              </w:rPr>
            </w:pPr>
          </w:p>
        </w:tc>
        <w:tc>
          <w:tcPr>
            <w:tcW w:w="986" w:type="dxa"/>
            <w:vMerge w:val="continue"/>
            <w:vAlign w:val="center"/>
          </w:tcPr>
          <w:p>
            <w:pPr>
              <w:spacing w:line="300" w:lineRule="exact"/>
              <w:jc w:val="center"/>
              <w:rPr>
                <w:rFonts w:hint="eastAsia" w:ascii="仿宋_GB2312" w:hAnsi="仿宋_GB2312" w:eastAsia="仿宋_GB2312" w:cs="仿宋_GB2312"/>
                <w:b/>
              </w:rPr>
            </w:pPr>
          </w:p>
        </w:tc>
        <w:tc>
          <w:tcPr>
            <w:tcW w:w="760" w:type="dxa"/>
            <w:vMerge w:val="continue"/>
            <w:vAlign w:val="center"/>
          </w:tcPr>
          <w:p>
            <w:pPr>
              <w:spacing w:line="300" w:lineRule="exact"/>
              <w:jc w:val="center"/>
              <w:rPr>
                <w:rFonts w:hint="eastAsia" w:ascii="仿宋_GB2312" w:hAnsi="仿宋_GB2312" w:eastAsia="仿宋_GB2312" w:cs="仿宋_GB2312"/>
                <w:b/>
              </w:rPr>
            </w:pPr>
          </w:p>
        </w:tc>
        <w:tc>
          <w:tcPr>
            <w:tcW w:w="760" w:type="dxa"/>
            <w:vMerge w:val="continue"/>
            <w:vAlign w:val="center"/>
          </w:tcPr>
          <w:p>
            <w:pPr>
              <w:spacing w:line="300" w:lineRule="exact"/>
              <w:jc w:val="center"/>
              <w:rPr>
                <w:rFonts w:hint="eastAsia" w:ascii="仿宋_GB2312" w:hAnsi="仿宋_GB2312" w:eastAsia="仿宋_GB2312" w:cs="仿宋_GB2312"/>
                <w:b/>
              </w:rPr>
            </w:pPr>
          </w:p>
        </w:tc>
        <w:tc>
          <w:tcPr>
            <w:tcW w:w="848" w:type="dxa"/>
            <w:vMerge w:val="continue"/>
            <w:vAlign w:val="center"/>
          </w:tcPr>
          <w:p>
            <w:pPr>
              <w:spacing w:line="300" w:lineRule="exact"/>
              <w:jc w:val="center"/>
              <w:rPr>
                <w:rFonts w:hint="eastAsia" w:ascii="仿宋_GB2312" w:hAnsi="仿宋_GB2312" w:eastAsia="仿宋_GB2312" w:cs="仿宋_GB2312"/>
                <w:b/>
              </w:rPr>
            </w:pPr>
          </w:p>
        </w:tc>
        <w:tc>
          <w:tcPr>
            <w:tcW w:w="961" w:type="dxa"/>
            <w:vMerge w:val="continue"/>
            <w:vAlign w:val="center"/>
          </w:tcPr>
          <w:p>
            <w:pPr>
              <w:spacing w:line="300" w:lineRule="exact"/>
              <w:jc w:val="center"/>
              <w:rPr>
                <w:rFonts w:hint="eastAsia" w:ascii="仿宋_GB2312" w:hAnsi="仿宋_GB2312" w:eastAsia="仿宋_GB2312" w:cs="仿宋_GB2312"/>
                <w:b/>
              </w:rPr>
            </w:pPr>
          </w:p>
        </w:tc>
        <w:tc>
          <w:tcPr>
            <w:tcW w:w="961"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合计</w:t>
            </w:r>
          </w:p>
        </w:tc>
        <w:tc>
          <w:tcPr>
            <w:tcW w:w="961"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一般公共预算拨款</w:t>
            </w:r>
          </w:p>
        </w:tc>
        <w:tc>
          <w:tcPr>
            <w:tcW w:w="961"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基金预算拨款</w:t>
            </w:r>
          </w:p>
        </w:tc>
        <w:tc>
          <w:tcPr>
            <w:tcW w:w="964"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财政专户核拨</w:t>
            </w:r>
          </w:p>
        </w:tc>
        <w:tc>
          <w:tcPr>
            <w:tcW w:w="964"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其他来源收入</w:t>
            </w:r>
          </w:p>
        </w:tc>
        <w:tc>
          <w:tcPr>
            <w:tcW w:w="921" w:type="dxa"/>
            <w:vMerge w:val="continue"/>
            <w:vAlign w:val="center"/>
          </w:tcPr>
          <w:p>
            <w:pPr>
              <w:spacing w:line="300" w:lineRule="exact"/>
              <w:jc w:val="left"/>
              <w:outlineLvl w:val="0"/>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合　计</w:t>
            </w:r>
          </w:p>
        </w:tc>
        <w:tc>
          <w:tcPr>
            <w:tcW w:w="1099" w:type="dxa"/>
            <w:vAlign w:val="center"/>
          </w:tcPr>
          <w:p>
            <w:pPr>
              <w:spacing w:line="300" w:lineRule="exact"/>
              <w:jc w:val="center"/>
              <w:rPr>
                <w:rFonts w:hint="eastAsia" w:ascii="仿宋_GB2312" w:hAnsi="仿宋_GB2312" w:eastAsia="仿宋_GB2312" w:cs="仿宋_GB2312"/>
                <w:b/>
              </w:rPr>
            </w:pPr>
          </w:p>
        </w:tc>
        <w:tc>
          <w:tcPr>
            <w:tcW w:w="974" w:type="dxa"/>
            <w:vAlign w:val="center"/>
          </w:tcPr>
          <w:p>
            <w:pPr>
              <w:spacing w:line="300" w:lineRule="exact"/>
              <w:jc w:val="center"/>
              <w:rPr>
                <w:rFonts w:hint="eastAsia" w:ascii="仿宋_GB2312" w:hAnsi="仿宋_GB2312" w:eastAsia="仿宋_GB2312" w:cs="仿宋_GB2312"/>
                <w:b/>
              </w:rPr>
            </w:pPr>
          </w:p>
        </w:tc>
        <w:tc>
          <w:tcPr>
            <w:tcW w:w="986" w:type="dxa"/>
            <w:vAlign w:val="center"/>
          </w:tcPr>
          <w:p>
            <w:pPr>
              <w:spacing w:line="300" w:lineRule="exact"/>
              <w:jc w:val="center"/>
              <w:rPr>
                <w:rFonts w:hint="eastAsia" w:ascii="仿宋_GB2312" w:hAnsi="仿宋_GB2312" w:eastAsia="仿宋_GB2312" w:cs="仿宋_GB2312"/>
                <w:b/>
              </w:rPr>
            </w:pPr>
          </w:p>
        </w:tc>
        <w:tc>
          <w:tcPr>
            <w:tcW w:w="760" w:type="dxa"/>
            <w:vAlign w:val="center"/>
          </w:tcPr>
          <w:p>
            <w:pPr>
              <w:spacing w:line="300" w:lineRule="exact"/>
              <w:jc w:val="center"/>
              <w:rPr>
                <w:rFonts w:hint="eastAsia" w:ascii="仿宋_GB2312" w:hAnsi="仿宋_GB2312" w:eastAsia="仿宋_GB2312" w:cs="仿宋_GB2312"/>
                <w:b/>
              </w:rPr>
            </w:pPr>
          </w:p>
        </w:tc>
        <w:tc>
          <w:tcPr>
            <w:tcW w:w="760" w:type="dxa"/>
            <w:vAlign w:val="center"/>
          </w:tcPr>
          <w:p>
            <w:pPr>
              <w:spacing w:line="300" w:lineRule="exact"/>
              <w:jc w:val="center"/>
              <w:rPr>
                <w:rFonts w:hint="eastAsia" w:ascii="仿宋_GB2312" w:hAnsi="仿宋_GB2312" w:eastAsia="仿宋_GB2312" w:cs="仿宋_GB2312"/>
                <w:b/>
              </w:rPr>
            </w:pPr>
          </w:p>
        </w:tc>
        <w:tc>
          <w:tcPr>
            <w:tcW w:w="848" w:type="dxa"/>
            <w:vAlign w:val="center"/>
          </w:tcPr>
          <w:p>
            <w:pPr>
              <w:spacing w:line="300" w:lineRule="exact"/>
              <w:jc w:val="center"/>
              <w:rPr>
                <w:rFonts w:hint="eastAsia" w:ascii="仿宋_GB2312" w:hAnsi="仿宋_GB2312" w:eastAsia="仿宋_GB2312" w:cs="仿宋_GB2312"/>
                <w:b/>
              </w:rPr>
            </w:pPr>
          </w:p>
        </w:tc>
        <w:tc>
          <w:tcPr>
            <w:tcW w:w="961"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471.50</w:t>
            </w:r>
          </w:p>
        </w:tc>
        <w:tc>
          <w:tcPr>
            <w:tcW w:w="961"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471.50</w:t>
            </w:r>
          </w:p>
        </w:tc>
        <w:tc>
          <w:tcPr>
            <w:tcW w:w="961"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96.50</w:t>
            </w:r>
          </w:p>
        </w:tc>
        <w:tc>
          <w:tcPr>
            <w:tcW w:w="961"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375.00</w:t>
            </w:r>
          </w:p>
        </w:tc>
        <w:tc>
          <w:tcPr>
            <w:tcW w:w="964" w:type="dxa"/>
            <w:vAlign w:val="center"/>
          </w:tcPr>
          <w:p>
            <w:pPr>
              <w:spacing w:line="300" w:lineRule="exact"/>
              <w:jc w:val="center"/>
              <w:rPr>
                <w:rFonts w:hint="eastAsia" w:ascii="仿宋_GB2312" w:hAnsi="仿宋_GB2312" w:eastAsia="仿宋_GB2312" w:cs="仿宋_GB2312"/>
                <w:b/>
              </w:rPr>
            </w:pPr>
          </w:p>
        </w:tc>
        <w:tc>
          <w:tcPr>
            <w:tcW w:w="964" w:type="dxa"/>
            <w:vAlign w:val="center"/>
          </w:tcPr>
          <w:p>
            <w:pPr>
              <w:spacing w:line="300" w:lineRule="exact"/>
              <w:jc w:val="center"/>
              <w:rPr>
                <w:rFonts w:hint="eastAsia" w:ascii="仿宋_GB2312" w:hAnsi="仿宋_GB2312" w:eastAsia="仿宋_GB2312" w:cs="仿宋_GB2312"/>
                <w:b/>
              </w:rPr>
            </w:pPr>
          </w:p>
        </w:tc>
        <w:tc>
          <w:tcPr>
            <w:tcW w:w="921" w:type="dxa"/>
            <w:vAlign w:val="center"/>
          </w:tcPr>
          <w:p>
            <w:pPr>
              <w:spacing w:line="300" w:lineRule="exact"/>
              <w:jc w:val="right"/>
              <w:rPr>
                <w:rFonts w:hint="eastAsia" w:ascii="仿宋_GB2312" w:hAnsi="仿宋_GB2312" w:eastAsia="仿宋_GB2312" w:cs="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河北大城经济开发区管理委员会小计</w:t>
            </w:r>
          </w:p>
        </w:tc>
        <w:tc>
          <w:tcPr>
            <w:tcW w:w="1099" w:type="dxa"/>
            <w:vAlign w:val="center"/>
          </w:tcPr>
          <w:p>
            <w:pPr>
              <w:spacing w:line="300" w:lineRule="exact"/>
              <w:jc w:val="center"/>
              <w:rPr>
                <w:rFonts w:hint="eastAsia" w:ascii="仿宋_GB2312" w:hAnsi="仿宋_GB2312" w:eastAsia="仿宋_GB2312" w:cs="仿宋_GB2312"/>
                <w:b/>
              </w:rPr>
            </w:pPr>
          </w:p>
        </w:tc>
        <w:tc>
          <w:tcPr>
            <w:tcW w:w="974" w:type="dxa"/>
            <w:vAlign w:val="center"/>
          </w:tcPr>
          <w:p>
            <w:pPr>
              <w:spacing w:line="300" w:lineRule="exact"/>
              <w:jc w:val="center"/>
              <w:rPr>
                <w:rFonts w:hint="eastAsia" w:ascii="仿宋_GB2312" w:hAnsi="仿宋_GB2312" w:eastAsia="仿宋_GB2312" w:cs="仿宋_GB2312"/>
                <w:b/>
              </w:rPr>
            </w:pPr>
          </w:p>
        </w:tc>
        <w:tc>
          <w:tcPr>
            <w:tcW w:w="986" w:type="dxa"/>
            <w:vAlign w:val="center"/>
          </w:tcPr>
          <w:p>
            <w:pPr>
              <w:spacing w:line="300" w:lineRule="exact"/>
              <w:jc w:val="center"/>
              <w:rPr>
                <w:rFonts w:hint="eastAsia" w:ascii="仿宋_GB2312" w:hAnsi="仿宋_GB2312" w:eastAsia="仿宋_GB2312" w:cs="仿宋_GB2312"/>
                <w:b/>
              </w:rPr>
            </w:pPr>
          </w:p>
        </w:tc>
        <w:tc>
          <w:tcPr>
            <w:tcW w:w="760" w:type="dxa"/>
            <w:vAlign w:val="center"/>
          </w:tcPr>
          <w:p>
            <w:pPr>
              <w:spacing w:line="300" w:lineRule="exact"/>
              <w:jc w:val="center"/>
              <w:rPr>
                <w:rFonts w:hint="eastAsia" w:ascii="仿宋_GB2312" w:hAnsi="仿宋_GB2312" w:eastAsia="仿宋_GB2312" w:cs="仿宋_GB2312"/>
                <w:b/>
              </w:rPr>
            </w:pPr>
          </w:p>
        </w:tc>
        <w:tc>
          <w:tcPr>
            <w:tcW w:w="760" w:type="dxa"/>
            <w:vAlign w:val="center"/>
          </w:tcPr>
          <w:p>
            <w:pPr>
              <w:spacing w:line="300" w:lineRule="exact"/>
              <w:jc w:val="center"/>
              <w:rPr>
                <w:rFonts w:hint="eastAsia" w:ascii="仿宋_GB2312" w:hAnsi="仿宋_GB2312" w:eastAsia="仿宋_GB2312" w:cs="仿宋_GB2312"/>
                <w:b/>
              </w:rPr>
            </w:pPr>
          </w:p>
        </w:tc>
        <w:tc>
          <w:tcPr>
            <w:tcW w:w="848" w:type="dxa"/>
            <w:vAlign w:val="center"/>
          </w:tcPr>
          <w:p>
            <w:pPr>
              <w:spacing w:line="300" w:lineRule="exact"/>
              <w:jc w:val="center"/>
              <w:rPr>
                <w:rFonts w:hint="eastAsia" w:ascii="仿宋_GB2312" w:hAnsi="仿宋_GB2312" w:eastAsia="仿宋_GB2312" w:cs="仿宋_GB2312"/>
                <w:b/>
              </w:rPr>
            </w:pPr>
          </w:p>
        </w:tc>
        <w:tc>
          <w:tcPr>
            <w:tcW w:w="961"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181.50</w:t>
            </w:r>
          </w:p>
        </w:tc>
        <w:tc>
          <w:tcPr>
            <w:tcW w:w="961"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181.50</w:t>
            </w:r>
          </w:p>
        </w:tc>
        <w:tc>
          <w:tcPr>
            <w:tcW w:w="961"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96.50</w:t>
            </w:r>
          </w:p>
        </w:tc>
        <w:tc>
          <w:tcPr>
            <w:tcW w:w="961"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85.00</w:t>
            </w:r>
          </w:p>
        </w:tc>
        <w:tc>
          <w:tcPr>
            <w:tcW w:w="964" w:type="dxa"/>
            <w:vAlign w:val="center"/>
          </w:tcPr>
          <w:p>
            <w:pPr>
              <w:spacing w:line="300" w:lineRule="exact"/>
              <w:jc w:val="center"/>
              <w:rPr>
                <w:rFonts w:hint="eastAsia" w:ascii="仿宋_GB2312" w:hAnsi="仿宋_GB2312" w:eastAsia="仿宋_GB2312" w:cs="仿宋_GB2312"/>
                <w:b/>
              </w:rPr>
            </w:pPr>
          </w:p>
        </w:tc>
        <w:tc>
          <w:tcPr>
            <w:tcW w:w="964" w:type="dxa"/>
            <w:vAlign w:val="center"/>
          </w:tcPr>
          <w:p>
            <w:pPr>
              <w:spacing w:line="300" w:lineRule="exact"/>
              <w:jc w:val="center"/>
              <w:rPr>
                <w:rFonts w:hint="eastAsia" w:ascii="仿宋_GB2312" w:hAnsi="仿宋_GB2312" w:eastAsia="仿宋_GB2312" w:cs="仿宋_GB2312"/>
                <w:b/>
              </w:rPr>
            </w:pPr>
          </w:p>
        </w:tc>
        <w:tc>
          <w:tcPr>
            <w:tcW w:w="921" w:type="dxa"/>
            <w:vAlign w:val="center"/>
          </w:tcPr>
          <w:p>
            <w:pPr>
              <w:spacing w:line="300" w:lineRule="exact"/>
              <w:jc w:val="right"/>
              <w:rPr>
                <w:rFonts w:hint="eastAsia" w:ascii="仿宋_GB2312" w:hAnsi="仿宋_GB2312" w:eastAsia="仿宋_GB2312" w:cs="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浦东路和深圳大街沿石更换工程</w:t>
            </w:r>
          </w:p>
        </w:tc>
        <w:tc>
          <w:tcPr>
            <w:tcW w:w="1099"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100.00</w:t>
            </w:r>
          </w:p>
        </w:tc>
        <w:tc>
          <w:tcPr>
            <w:tcW w:w="974"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w:t>
            </w:r>
          </w:p>
        </w:tc>
        <w:tc>
          <w:tcPr>
            <w:tcW w:w="986"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B</w:t>
            </w:r>
          </w:p>
        </w:tc>
        <w:tc>
          <w:tcPr>
            <w:tcW w:w="760" w:type="dxa"/>
            <w:vAlign w:val="center"/>
          </w:tcPr>
          <w:p>
            <w:pPr>
              <w:spacing w:line="300" w:lineRule="exact"/>
              <w:jc w:val="left"/>
              <w:rPr>
                <w:rFonts w:hint="eastAsia" w:ascii="仿宋_GB2312" w:hAnsi="仿宋_GB2312" w:eastAsia="仿宋_GB2312" w:cs="仿宋_GB2312"/>
              </w:rPr>
            </w:pPr>
          </w:p>
        </w:tc>
        <w:tc>
          <w:tcPr>
            <w:tcW w:w="760"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848"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96.50</w:t>
            </w:r>
          </w:p>
        </w:tc>
        <w:tc>
          <w:tcPr>
            <w:tcW w:w="96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96.50</w:t>
            </w:r>
          </w:p>
        </w:tc>
        <w:tc>
          <w:tcPr>
            <w:tcW w:w="96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96.50</w:t>
            </w:r>
          </w:p>
        </w:tc>
        <w:tc>
          <w:tcPr>
            <w:tcW w:w="96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96.50</w:t>
            </w:r>
          </w:p>
        </w:tc>
        <w:tc>
          <w:tcPr>
            <w:tcW w:w="961" w:type="dxa"/>
            <w:vAlign w:val="center"/>
          </w:tcPr>
          <w:p>
            <w:pPr>
              <w:spacing w:line="300" w:lineRule="exact"/>
              <w:jc w:val="left"/>
              <w:rPr>
                <w:rFonts w:hint="eastAsia" w:ascii="仿宋_GB2312" w:hAnsi="仿宋_GB2312" w:eastAsia="仿宋_GB2312" w:cs="仿宋_GB2312"/>
              </w:rPr>
            </w:pPr>
          </w:p>
        </w:tc>
        <w:tc>
          <w:tcPr>
            <w:tcW w:w="964" w:type="dxa"/>
            <w:vAlign w:val="center"/>
          </w:tcPr>
          <w:p>
            <w:pPr>
              <w:spacing w:line="300" w:lineRule="exact"/>
              <w:jc w:val="left"/>
              <w:rPr>
                <w:rFonts w:hint="eastAsia" w:ascii="仿宋_GB2312" w:hAnsi="仿宋_GB2312" w:eastAsia="仿宋_GB2312" w:cs="仿宋_GB2312"/>
              </w:rPr>
            </w:pPr>
          </w:p>
        </w:tc>
        <w:tc>
          <w:tcPr>
            <w:tcW w:w="964" w:type="dxa"/>
            <w:vAlign w:val="center"/>
          </w:tcPr>
          <w:p>
            <w:pPr>
              <w:spacing w:line="300" w:lineRule="exact"/>
              <w:jc w:val="right"/>
              <w:rPr>
                <w:rFonts w:hint="eastAsia" w:ascii="仿宋_GB2312" w:hAnsi="仿宋_GB2312" w:eastAsia="仿宋_GB2312" w:cs="仿宋_GB2312"/>
              </w:rPr>
            </w:pPr>
          </w:p>
        </w:tc>
        <w:tc>
          <w:tcPr>
            <w:tcW w:w="921" w:type="dxa"/>
            <w:vAlign w:val="center"/>
          </w:tcPr>
          <w:p>
            <w:pPr>
              <w:spacing w:line="300" w:lineRule="exact"/>
              <w:jc w:val="righ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修建下水管道工程</w:t>
            </w:r>
          </w:p>
        </w:tc>
        <w:tc>
          <w:tcPr>
            <w:tcW w:w="1099"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50.00</w:t>
            </w:r>
          </w:p>
        </w:tc>
        <w:tc>
          <w:tcPr>
            <w:tcW w:w="974"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w:t>
            </w:r>
          </w:p>
        </w:tc>
        <w:tc>
          <w:tcPr>
            <w:tcW w:w="986"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B</w:t>
            </w:r>
          </w:p>
        </w:tc>
        <w:tc>
          <w:tcPr>
            <w:tcW w:w="760" w:type="dxa"/>
            <w:vAlign w:val="center"/>
          </w:tcPr>
          <w:p>
            <w:pPr>
              <w:spacing w:line="300" w:lineRule="exact"/>
              <w:jc w:val="left"/>
              <w:rPr>
                <w:rFonts w:hint="eastAsia" w:ascii="仿宋_GB2312" w:hAnsi="仿宋_GB2312" w:eastAsia="仿宋_GB2312" w:cs="仿宋_GB2312"/>
              </w:rPr>
            </w:pPr>
          </w:p>
        </w:tc>
        <w:tc>
          <w:tcPr>
            <w:tcW w:w="760"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848"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30.00</w:t>
            </w:r>
          </w:p>
        </w:tc>
        <w:tc>
          <w:tcPr>
            <w:tcW w:w="96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30.00</w:t>
            </w:r>
          </w:p>
        </w:tc>
        <w:tc>
          <w:tcPr>
            <w:tcW w:w="96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30.00</w:t>
            </w:r>
          </w:p>
        </w:tc>
        <w:tc>
          <w:tcPr>
            <w:tcW w:w="961" w:type="dxa"/>
            <w:vAlign w:val="center"/>
          </w:tcPr>
          <w:p>
            <w:pPr>
              <w:spacing w:line="300" w:lineRule="exact"/>
              <w:jc w:val="left"/>
              <w:rPr>
                <w:rFonts w:hint="eastAsia" w:ascii="仿宋_GB2312" w:hAnsi="仿宋_GB2312" w:eastAsia="仿宋_GB2312" w:cs="仿宋_GB2312"/>
              </w:rPr>
            </w:pPr>
          </w:p>
        </w:tc>
        <w:tc>
          <w:tcPr>
            <w:tcW w:w="96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30.00</w:t>
            </w:r>
          </w:p>
        </w:tc>
        <w:tc>
          <w:tcPr>
            <w:tcW w:w="964" w:type="dxa"/>
            <w:vAlign w:val="center"/>
          </w:tcPr>
          <w:p>
            <w:pPr>
              <w:spacing w:line="300" w:lineRule="exact"/>
              <w:jc w:val="left"/>
              <w:rPr>
                <w:rFonts w:hint="eastAsia" w:ascii="仿宋_GB2312" w:hAnsi="仿宋_GB2312" w:eastAsia="仿宋_GB2312" w:cs="仿宋_GB2312"/>
              </w:rPr>
            </w:pPr>
          </w:p>
        </w:tc>
        <w:tc>
          <w:tcPr>
            <w:tcW w:w="964" w:type="dxa"/>
            <w:vAlign w:val="center"/>
          </w:tcPr>
          <w:p>
            <w:pPr>
              <w:spacing w:line="300" w:lineRule="exact"/>
              <w:jc w:val="right"/>
              <w:rPr>
                <w:rFonts w:hint="eastAsia" w:ascii="仿宋_GB2312" w:hAnsi="仿宋_GB2312" w:eastAsia="仿宋_GB2312" w:cs="仿宋_GB2312"/>
              </w:rPr>
            </w:pPr>
          </w:p>
        </w:tc>
        <w:tc>
          <w:tcPr>
            <w:tcW w:w="921" w:type="dxa"/>
            <w:vAlign w:val="center"/>
          </w:tcPr>
          <w:p>
            <w:pPr>
              <w:spacing w:line="300" w:lineRule="exact"/>
              <w:jc w:val="righ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深圳大街维修工程</w:t>
            </w:r>
          </w:p>
        </w:tc>
        <w:tc>
          <w:tcPr>
            <w:tcW w:w="1099"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70.00</w:t>
            </w:r>
          </w:p>
        </w:tc>
        <w:tc>
          <w:tcPr>
            <w:tcW w:w="974"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工程</w:t>
            </w:r>
          </w:p>
        </w:tc>
        <w:tc>
          <w:tcPr>
            <w:tcW w:w="986"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B</w:t>
            </w:r>
          </w:p>
        </w:tc>
        <w:tc>
          <w:tcPr>
            <w:tcW w:w="760" w:type="dxa"/>
            <w:vAlign w:val="center"/>
          </w:tcPr>
          <w:p>
            <w:pPr>
              <w:spacing w:line="300" w:lineRule="exact"/>
              <w:jc w:val="left"/>
              <w:rPr>
                <w:rFonts w:hint="eastAsia" w:ascii="仿宋_GB2312" w:hAnsi="仿宋_GB2312" w:eastAsia="仿宋_GB2312" w:cs="仿宋_GB2312"/>
              </w:rPr>
            </w:pPr>
          </w:p>
        </w:tc>
        <w:tc>
          <w:tcPr>
            <w:tcW w:w="760"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848"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55.00</w:t>
            </w:r>
          </w:p>
        </w:tc>
        <w:tc>
          <w:tcPr>
            <w:tcW w:w="96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55.00</w:t>
            </w:r>
          </w:p>
        </w:tc>
        <w:tc>
          <w:tcPr>
            <w:tcW w:w="96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55.00</w:t>
            </w:r>
          </w:p>
        </w:tc>
        <w:tc>
          <w:tcPr>
            <w:tcW w:w="961" w:type="dxa"/>
            <w:vAlign w:val="center"/>
          </w:tcPr>
          <w:p>
            <w:pPr>
              <w:spacing w:line="300" w:lineRule="exact"/>
              <w:jc w:val="left"/>
              <w:rPr>
                <w:rFonts w:hint="eastAsia" w:ascii="仿宋_GB2312" w:hAnsi="仿宋_GB2312" w:eastAsia="仿宋_GB2312" w:cs="仿宋_GB2312"/>
              </w:rPr>
            </w:pPr>
          </w:p>
        </w:tc>
        <w:tc>
          <w:tcPr>
            <w:tcW w:w="961"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55.00</w:t>
            </w:r>
          </w:p>
        </w:tc>
        <w:tc>
          <w:tcPr>
            <w:tcW w:w="964" w:type="dxa"/>
            <w:vAlign w:val="center"/>
          </w:tcPr>
          <w:p>
            <w:pPr>
              <w:spacing w:line="300" w:lineRule="exact"/>
              <w:jc w:val="left"/>
              <w:rPr>
                <w:rFonts w:hint="eastAsia" w:ascii="仿宋_GB2312" w:hAnsi="仿宋_GB2312" w:eastAsia="仿宋_GB2312" w:cs="仿宋_GB2312"/>
              </w:rPr>
            </w:pPr>
          </w:p>
        </w:tc>
        <w:tc>
          <w:tcPr>
            <w:tcW w:w="964" w:type="dxa"/>
            <w:vAlign w:val="center"/>
          </w:tcPr>
          <w:p>
            <w:pPr>
              <w:spacing w:line="300" w:lineRule="exact"/>
              <w:jc w:val="right"/>
              <w:rPr>
                <w:rFonts w:hint="eastAsia" w:ascii="仿宋_GB2312" w:hAnsi="仿宋_GB2312" w:eastAsia="仿宋_GB2312" w:cs="仿宋_GB2312"/>
              </w:rPr>
            </w:pPr>
          </w:p>
        </w:tc>
        <w:tc>
          <w:tcPr>
            <w:tcW w:w="921" w:type="dxa"/>
            <w:vAlign w:val="center"/>
          </w:tcPr>
          <w:p>
            <w:pPr>
              <w:spacing w:line="300" w:lineRule="exact"/>
              <w:jc w:val="righ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气雾剂产业园管理办公室小计</w:t>
            </w:r>
          </w:p>
        </w:tc>
        <w:tc>
          <w:tcPr>
            <w:tcW w:w="1099" w:type="dxa"/>
            <w:vAlign w:val="center"/>
          </w:tcPr>
          <w:p>
            <w:pPr>
              <w:spacing w:line="300" w:lineRule="exact"/>
              <w:jc w:val="right"/>
              <w:rPr>
                <w:rFonts w:hint="eastAsia" w:ascii="仿宋_GB2312" w:hAnsi="仿宋_GB2312" w:eastAsia="仿宋_GB2312" w:cs="仿宋_GB2312"/>
                <w:b/>
              </w:rPr>
            </w:pPr>
          </w:p>
        </w:tc>
        <w:tc>
          <w:tcPr>
            <w:tcW w:w="974" w:type="dxa"/>
            <w:vAlign w:val="center"/>
          </w:tcPr>
          <w:p>
            <w:pPr>
              <w:spacing w:line="300" w:lineRule="exact"/>
              <w:jc w:val="left"/>
              <w:rPr>
                <w:rFonts w:hint="eastAsia" w:ascii="仿宋_GB2312" w:hAnsi="仿宋_GB2312" w:eastAsia="仿宋_GB2312" w:cs="仿宋_GB2312"/>
                <w:b/>
              </w:rPr>
            </w:pPr>
          </w:p>
        </w:tc>
        <w:tc>
          <w:tcPr>
            <w:tcW w:w="986" w:type="dxa"/>
            <w:vAlign w:val="center"/>
          </w:tcPr>
          <w:p>
            <w:pPr>
              <w:spacing w:line="300" w:lineRule="exact"/>
              <w:jc w:val="left"/>
              <w:rPr>
                <w:rFonts w:hint="eastAsia" w:ascii="仿宋_GB2312" w:hAnsi="仿宋_GB2312" w:eastAsia="仿宋_GB2312" w:cs="仿宋_GB2312"/>
                <w:b/>
              </w:rPr>
            </w:pPr>
          </w:p>
        </w:tc>
        <w:tc>
          <w:tcPr>
            <w:tcW w:w="760" w:type="dxa"/>
            <w:vAlign w:val="center"/>
          </w:tcPr>
          <w:p>
            <w:pPr>
              <w:spacing w:line="300" w:lineRule="exact"/>
              <w:jc w:val="left"/>
              <w:rPr>
                <w:rFonts w:hint="eastAsia" w:ascii="仿宋_GB2312" w:hAnsi="仿宋_GB2312" w:eastAsia="仿宋_GB2312" w:cs="仿宋_GB2312"/>
                <w:b/>
              </w:rPr>
            </w:pPr>
          </w:p>
        </w:tc>
        <w:tc>
          <w:tcPr>
            <w:tcW w:w="760" w:type="dxa"/>
            <w:vAlign w:val="center"/>
          </w:tcPr>
          <w:p>
            <w:pPr>
              <w:spacing w:line="300" w:lineRule="exact"/>
              <w:jc w:val="right"/>
              <w:rPr>
                <w:rFonts w:hint="eastAsia" w:ascii="仿宋_GB2312" w:hAnsi="仿宋_GB2312" w:eastAsia="仿宋_GB2312" w:cs="仿宋_GB2312"/>
                <w:b/>
              </w:rPr>
            </w:pPr>
          </w:p>
        </w:tc>
        <w:tc>
          <w:tcPr>
            <w:tcW w:w="848" w:type="dxa"/>
            <w:vAlign w:val="center"/>
          </w:tcPr>
          <w:p>
            <w:pPr>
              <w:spacing w:line="300" w:lineRule="exact"/>
              <w:jc w:val="right"/>
              <w:rPr>
                <w:rFonts w:hint="eastAsia" w:ascii="仿宋_GB2312" w:hAnsi="仿宋_GB2312" w:eastAsia="仿宋_GB2312" w:cs="仿宋_GB2312"/>
                <w:b/>
              </w:rPr>
            </w:pPr>
          </w:p>
        </w:tc>
        <w:tc>
          <w:tcPr>
            <w:tcW w:w="961" w:type="dxa"/>
            <w:vAlign w:val="center"/>
          </w:tcPr>
          <w:p>
            <w:pPr>
              <w:spacing w:line="300" w:lineRule="exact"/>
              <w:jc w:val="right"/>
              <w:rPr>
                <w:rFonts w:hint="eastAsia" w:ascii="仿宋_GB2312" w:hAnsi="仿宋_GB2312" w:eastAsia="仿宋_GB2312" w:cs="仿宋_GB2312"/>
                <w:b/>
              </w:rPr>
            </w:pPr>
            <w:r>
              <w:rPr>
                <w:rFonts w:hint="eastAsia" w:ascii="仿宋_GB2312" w:hAnsi="仿宋_GB2312" w:eastAsia="仿宋_GB2312" w:cs="仿宋_GB2312"/>
                <w:b/>
              </w:rPr>
              <w:t>290.00</w:t>
            </w:r>
          </w:p>
        </w:tc>
        <w:tc>
          <w:tcPr>
            <w:tcW w:w="961" w:type="dxa"/>
            <w:vAlign w:val="center"/>
          </w:tcPr>
          <w:p>
            <w:pPr>
              <w:spacing w:line="300" w:lineRule="exact"/>
              <w:jc w:val="right"/>
              <w:rPr>
                <w:rFonts w:hint="eastAsia" w:ascii="仿宋_GB2312" w:hAnsi="仿宋_GB2312" w:eastAsia="仿宋_GB2312" w:cs="仿宋_GB2312"/>
                <w:b/>
              </w:rPr>
            </w:pPr>
            <w:r>
              <w:rPr>
                <w:rFonts w:hint="eastAsia" w:ascii="仿宋_GB2312" w:hAnsi="仿宋_GB2312" w:eastAsia="仿宋_GB2312" w:cs="仿宋_GB2312"/>
                <w:b/>
              </w:rPr>
              <w:t>290.00</w:t>
            </w:r>
          </w:p>
        </w:tc>
        <w:tc>
          <w:tcPr>
            <w:tcW w:w="961" w:type="dxa"/>
            <w:vAlign w:val="center"/>
          </w:tcPr>
          <w:p>
            <w:pPr>
              <w:spacing w:line="300" w:lineRule="exact"/>
              <w:jc w:val="right"/>
              <w:rPr>
                <w:rFonts w:hint="eastAsia" w:ascii="仿宋_GB2312" w:hAnsi="仿宋_GB2312" w:eastAsia="仿宋_GB2312" w:cs="仿宋_GB2312"/>
                <w:b/>
              </w:rPr>
            </w:pPr>
          </w:p>
        </w:tc>
        <w:tc>
          <w:tcPr>
            <w:tcW w:w="961" w:type="dxa"/>
            <w:vAlign w:val="center"/>
          </w:tcPr>
          <w:p>
            <w:pPr>
              <w:spacing w:line="300" w:lineRule="exact"/>
              <w:jc w:val="right"/>
              <w:rPr>
                <w:rFonts w:hint="eastAsia" w:ascii="仿宋_GB2312" w:hAnsi="仿宋_GB2312" w:eastAsia="仿宋_GB2312" w:cs="仿宋_GB2312"/>
                <w:b/>
              </w:rPr>
            </w:pPr>
            <w:r>
              <w:rPr>
                <w:rFonts w:hint="eastAsia" w:ascii="仿宋_GB2312" w:hAnsi="仿宋_GB2312" w:eastAsia="仿宋_GB2312" w:cs="仿宋_GB2312"/>
                <w:b/>
              </w:rPr>
              <w:t>290.00</w:t>
            </w:r>
          </w:p>
        </w:tc>
        <w:tc>
          <w:tcPr>
            <w:tcW w:w="964" w:type="dxa"/>
            <w:vAlign w:val="center"/>
          </w:tcPr>
          <w:p>
            <w:pPr>
              <w:spacing w:line="300" w:lineRule="exact"/>
              <w:jc w:val="right"/>
              <w:rPr>
                <w:rFonts w:hint="eastAsia" w:ascii="仿宋_GB2312" w:hAnsi="仿宋_GB2312" w:eastAsia="仿宋_GB2312" w:cs="仿宋_GB2312"/>
                <w:b/>
              </w:rPr>
            </w:pPr>
          </w:p>
        </w:tc>
        <w:tc>
          <w:tcPr>
            <w:tcW w:w="964" w:type="dxa"/>
            <w:vAlign w:val="center"/>
          </w:tcPr>
          <w:p>
            <w:pPr>
              <w:spacing w:line="300" w:lineRule="exact"/>
              <w:jc w:val="right"/>
              <w:rPr>
                <w:rFonts w:hint="eastAsia" w:ascii="仿宋_GB2312" w:hAnsi="仿宋_GB2312" w:eastAsia="仿宋_GB2312" w:cs="仿宋_GB2312"/>
                <w:b/>
              </w:rPr>
            </w:pPr>
          </w:p>
        </w:tc>
        <w:tc>
          <w:tcPr>
            <w:tcW w:w="921" w:type="dxa"/>
            <w:vAlign w:val="center"/>
          </w:tcPr>
          <w:p>
            <w:pPr>
              <w:spacing w:line="300" w:lineRule="exact"/>
              <w:jc w:val="right"/>
              <w:rPr>
                <w:rFonts w:hint="eastAsia" w:ascii="仿宋_GB2312" w:hAnsi="仿宋_GB2312" w:eastAsia="仿宋_GB2312" w:cs="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气雾剂产业园智慧园区编制</w:t>
            </w:r>
          </w:p>
        </w:tc>
        <w:tc>
          <w:tcPr>
            <w:tcW w:w="1099"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66.00</w:t>
            </w:r>
          </w:p>
        </w:tc>
        <w:tc>
          <w:tcPr>
            <w:tcW w:w="974"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w:t>
            </w:r>
          </w:p>
        </w:tc>
        <w:tc>
          <w:tcPr>
            <w:tcW w:w="986"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C</w:t>
            </w:r>
          </w:p>
        </w:tc>
        <w:tc>
          <w:tcPr>
            <w:tcW w:w="760" w:type="dxa"/>
            <w:vAlign w:val="center"/>
          </w:tcPr>
          <w:p>
            <w:pPr>
              <w:spacing w:line="300" w:lineRule="exact"/>
              <w:jc w:val="center"/>
              <w:rPr>
                <w:rFonts w:hint="eastAsia" w:ascii="仿宋_GB2312" w:hAnsi="仿宋_GB2312" w:eastAsia="仿宋_GB2312" w:cs="仿宋_GB2312"/>
              </w:rPr>
            </w:pPr>
          </w:p>
        </w:tc>
        <w:tc>
          <w:tcPr>
            <w:tcW w:w="760"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4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66.00</w:t>
            </w: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66.00</w:t>
            </w: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66.00</w:t>
            </w:r>
          </w:p>
        </w:tc>
        <w:tc>
          <w:tcPr>
            <w:tcW w:w="961" w:type="dxa"/>
            <w:vAlign w:val="center"/>
          </w:tcPr>
          <w:p>
            <w:pPr>
              <w:spacing w:line="300" w:lineRule="exact"/>
              <w:jc w:val="center"/>
              <w:rPr>
                <w:rFonts w:hint="eastAsia" w:ascii="仿宋_GB2312" w:hAnsi="仿宋_GB2312" w:eastAsia="仿宋_GB2312" w:cs="仿宋_GB2312"/>
              </w:rPr>
            </w:pP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66.00</w:t>
            </w:r>
          </w:p>
        </w:tc>
        <w:tc>
          <w:tcPr>
            <w:tcW w:w="964" w:type="dxa"/>
            <w:vAlign w:val="center"/>
          </w:tcPr>
          <w:p>
            <w:pPr>
              <w:spacing w:line="300" w:lineRule="exact"/>
              <w:jc w:val="right"/>
              <w:rPr>
                <w:rFonts w:hint="eastAsia" w:ascii="仿宋_GB2312" w:hAnsi="仿宋_GB2312" w:eastAsia="仿宋_GB2312" w:cs="仿宋_GB2312"/>
              </w:rPr>
            </w:pPr>
          </w:p>
        </w:tc>
        <w:tc>
          <w:tcPr>
            <w:tcW w:w="964" w:type="dxa"/>
            <w:vAlign w:val="center"/>
          </w:tcPr>
          <w:p>
            <w:pPr>
              <w:spacing w:line="300" w:lineRule="exact"/>
              <w:jc w:val="right"/>
              <w:rPr>
                <w:rFonts w:hint="eastAsia" w:ascii="仿宋_GB2312" w:hAnsi="仿宋_GB2312" w:eastAsia="仿宋_GB2312" w:cs="仿宋_GB2312"/>
              </w:rPr>
            </w:pPr>
          </w:p>
        </w:tc>
        <w:tc>
          <w:tcPr>
            <w:tcW w:w="921" w:type="dxa"/>
            <w:vAlign w:val="center"/>
          </w:tcPr>
          <w:p>
            <w:pPr>
              <w:spacing w:line="300" w:lineRule="exact"/>
              <w:jc w:val="righ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专项规划编制经费</w:t>
            </w:r>
          </w:p>
        </w:tc>
        <w:tc>
          <w:tcPr>
            <w:tcW w:w="1099"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8.00</w:t>
            </w:r>
          </w:p>
        </w:tc>
        <w:tc>
          <w:tcPr>
            <w:tcW w:w="974"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w:t>
            </w:r>
          </w:p>
        </w:tc>
        <w:tc>
          <w:tcPr>
            <w:tcW w:w="986"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C</w:t>
            </w:r>
          </w:p>
        </w:tc>
        <w:tc>
          <w:tcPr>
            <w:tcW w:w="760" w:type="dxa"/>
            <w:vAlign w:val="center"/>
          </w:tcPr>
          <w:p>
            <w:pPr>
              <w:spacing w:line="300" w:lineRule="exact"/>
              <w:jc w:val="center"/>
              <w:rPr>
                <w:rFonts w:hint="eastAsia" w:ascii="仿宋_GB2312" w:hAnsi="仿宋_GB2312" w:eastAsia="仿宋_GB2312" w:cs="仿宋_GB2312"/>
              </w:rPr>
            </w:pPr>
          </w:p>
        </w:tc>
        <w:tc>
          <w:tcPr>
            <w:tcW w:w="760"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4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8.00</w:t>
            </w: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8.00</w:t>
            </w: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8.00</w:t>
            </w:r>
          </w:p>
        </w:tc>
        <w:tc>
          <w:tcPr>
            <w:tcW w:w="961" w:type="dxa"/>
            <w:vAlign w:val="center"/>
          </w:tcPr>
          <w:p>
            <w:pPr>
              <w:spacing w:line="300" w:lineRule="exact"/>
              <w:jc w:val="center"/>
              <w:rPr>
                <w:rFonts w:hint="eastAsia" w:ascii="仿宋_GB2312" w:hAnsi="仿宋_GB2312" w:eastAsia="仿宋_GB2312" w:cs="仿宋_GB2312"/>
              </w:rPr>
            </w:pP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8.00</w:t>
            </w:r>
          </w:p>
        </w:tc>
        <w:tc>
          <w:tcPr>
            <w:tcW w:w="964" w:type="dxa"/>
            <w:vAlign w:val="center"/>
          </w:tcPr>
          <w:p>
            <w:pPr>
              <w:spacing w:line="300" w:lineRule="exact"/>
              <w:jc w:val="right"/>
              <w:rPr>
                <w:rFonts w:hint="eastAsia" w:ascii="仿宋_GB2312" w:hAnsi="仿宋_GB2312" w:eastAsia="仿宋_GB2312" w:cs="仿宋_GB2312"/>
              </w:rPr>
            </w:pPr>
          </w:p>
        </w:tc>
        <w:tc>
          <w:tcPr>
            <w:tcW w:w="964" w:type="dxa"/>
            <w:vAlign w:val="center"/>
          </w:tcPr>
          <w:p>
            <w:pPr>
              <w:spacing w:line="300" w:lineRule="exact"/>
              <w:jc w:val="right"/>
              <w:rPr>
                <w:rFonts w:hint="eastAsia" w:ascii="仿宋_GB2312" w:hAnsi="仿宋_GB2312" w:eastAsia="仿宋_GB2312" w:cs="仿宋_GB2312"/>
              </w:rPr>
            </w:pPr>
          </w:p>
        </w:tc>
        <w:tc>
          <w:tcPr>
            <w:tcW w:w="921" w:type="dxa"/>
            <w:vAlign w:val="center"/>
          </w:tcPr>
          <w:p>
            <w:pPr>
              <w:spacing w:line="300" w:lineRule="exact"/>
              <w:jc w:val="righ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气雾剂产业园给水主管道工程项目</w:t>
            </w:r>
          </w:p>
        </w:tc>
        <w:tc>
          <w:tcPr>
            <w:tcW w:w="1099"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150.00</w:t>
            </w:r>
          </w:p>
        </w:tc>
        <w:tc>
          <w:tcPr>
            <w:tcW w:w="974"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工程</w:t>
            </w:r>
          </w:p>
        </w:tc>
        <w:tc>
          <w:tcPr>
            <w:tcW w:w="986"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B</w:t>
            </w:r>
          </w:p>
        </w:tc>
        <w:tc>
          <w:tcPr>
            <w:tcW w:w="760" w:type="dxa"/>
            <w:vAlign w:val="center"/>
          </w:tcPr>
          <w:p>
            <w:pPr>
              <w:spacing w:line="300" w:lineRule="exact"/>
              <w:jc w:val="center"/>
              <w:rPr>
                <w:rFonts w:hint="eastAsia" w:ascii="仿宋_GB2312" w:hAnsi="仿宋_GB2312" w:eastAsia="仿宋_GB2312" w:cs="仿宋_GB2312"/>
              </w:rPr>
            </w:pPr>
          </w:p>
        </w:tc>
        <w:tc>
          <w:tcPr>
            <w:tcW w:w="760"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4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150.00</w:t>
            </w: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150.00</w:t>
            </w: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150.00</w:t>
            </w:r>
          </w:p>
        </w:tc>
        <w:tc>
          <w:tcPr>
            <w:tcW w:w="961" w:type="dxa"/>
            <w:vAlign w:val="center"/>
          </w:tcPr>
          <w:p>
            <w:pPr>
              <w:spacing w:line="300" w:lineRule="exact"/>
              <w:jc w:val="center"/>
              <w:rPr>
                <w:rFonts w:hint="eastAsia" w:ascii="仿宋_GB2312" w:hAnsi="仿宋_GB2312" w:eastAsia="仿宋_GB2312" w:cs="仿宋_GB2312"/>
              </w:rPr>
            </w:pP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150.00</w:t>
            </w:r>
          </w:p>
        </w:tc>
        <w:tc>
          <w:tcPr>
            <w:tcW w:w="964" w:type="dxa"/>
            <w:vAlign w:val="center"/>
          </w:tcPr>
          <w:p>
            <w:pPr>
              <w:spacing w:line="300" w:lineRule="exact"/>
              <w:jc w:val="right"/>
              <w:rPr>
                <w:rFonts w:hint="eastAsia" w:ascii="仿宋_GB2312" w:hAnsi="仿宋_GB2312" w:eastAsia="仿宋_GB2312" w:cs="仿宋_GB2312"/>
              </w:rPr>
            </w:pPr>
          </w:p>
        </w:tc>
        <w:tc>
          <w:tcPr>
            <w:tcW w:w="964" w:type="dxa"/>
            <w:vAlign w:val="center"/>
          </w:tcPr>
          <w:p>
            <w:pPr>
              <w:spacing w:line="300" w:lineRule="exact"/>
              <w:jc w:val="right"/>
              <w:rPr>
                <w:rFonts w:hint="eastAsia" w:ascii="仿宋_GB2312" w:hAnsi="仿宋_GB2312" w:eastAsia="仿宋_GB2312" w:cs="仿宋_GB2312"/>
              </w:rPr>
            </w:pPr>
          </w:p>
        </w:tc>
        <w:tc>
          <w:tcPr>
            <w:tcW w:w="921" w:type="dxa"/>
            <w:vAlign w:val="center"/>
          </w:tcPr>
          <w:p>
            <w:pPr>
              <w:spacing w:line="300" w:lineRule="exact"/>
              <w:jc w:val="righ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气雾剂产业园产业规划编制</w:t>
            </w:r>
          </w:p>
        </w:tc>
        <w:tc>
          <w:tcPr>
            <w:tcW w:w="1099"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66.00</w:t>
            </w:r>
          </w:p>
        </w:tc>
        <w:tc>
          <w:tcPr>
            <w:tcW w:w="974"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w:t>
            </w:r>
          </w:p>
        </w:tc>
        <w:tc>
          <w:tcPr>
            <w:tcW w:w="986"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C</w:t>
            </w:r>
          </w:p>
        </w:tc>
        <w:tc>
          <w:tcPr>
            <w:tcW w:w="760" w:type="dxa"/>
            <w:vAlign w:val="center"/>
          </w:tcPr>
          <w:p>
            <w:pPr>
              <w:spacing w:line="300" w:lineRule="exact"/>
              <w:jc w:val="center"/>
              <w:rPr>
                <w:rFonts w:hint="eastAsia" w:ascii="仿宋_GB2312" w:hAnsi="仿宋_GB2312" w:eastAsia="仿宋_GB2312" w:cs="仿宋_GB2312"/>
              </w:rPr>
            </w:pPr>
          </w:p>
        </w:tc>
        <w:tc>
          <w:tcPr>
            <w:tcW w:w="760"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848"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66.00</w:t>
            </w: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66.00</w:t>
            </w: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66.00</w:t>
            </w:r>
          </w:p>
        </w:tc>
        <w:tc>
          <w:tcPr>
            <w:tcW w:w="961" w:type="dxa"/>
            <w:vAlign w:val="center"/>
          </w:tcPr>
          <w:p>
            <w:pPr>
              <w:spacing w:line="300" w:lineRule="exact"/>
              <w:jc w:val="center"/>
              <w:rPr>
                <w:rFonts w:hint="eastAsia" w:ascii="仿宋_GB2312" w:hAnsi="仿宋_GB2312" w:eastAsia="仿宋_GB2312" w:cs="仿宋_GB2312"/>
              </w:rPr>
            </w:pPr>
          </w:p>
        </w:tc>
        <w:tc>
          <w:tcPr>
            <w:tcW w:w="961" w:type="dxa"/>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66.00</w:t>
            </w:r>
          </w:p>
        </w:tc>
        <w:tc>
          <w:tcPr>
            <w:tcW w:w="964" w:type="dxa"/>
            <w:vAlign w:val="center"/>
          </w:tcPr>
          <w:p>
            <w:pPr>
              <w:spacing w:line="300" w:lineRule="exact"/>
              <w:jc w:val="right"/>
              <w:rPr>
                <w:rFonts w:hint="eastAsia" w:ascii="仿宋_GB2312" w:hAnsi="仿宋_GB2312" w:eastAsia="仿宋_GB2312" w:cs="仿宋_GB2312"/>
              </w:rPr>
            </w:pPr>
          </w:p>
        </w:tc>
        <w:tc>
          <w:tcPr>
            <w:tcW w:w="964" w:type="dxa"/>
            <w:vAlign w:val="center"/>
          </w:tcPr>
          <w:p>
            <w:pPr>
              <w:spacing w:line="300" w:lineRule="exact"/>
              <w:jc w:val="right"/>
              <w:rPr>
                <w:rFonts w:hint="eastAsia" w:ascii="仿宋_GB2312" w:hAnsi="仿宋_GB2312" w:eastAsia="仿宋_GB2312" w:cs="仿宋_GB2312"/>
              </w:rPr>
            </w:pPr>
          </w:p>
        </w:tc>
        <w:tc>
          <w:tcPr>
            <w:tcW w:w="921" w:type="dxa"/>
            <w:vAlign w:val="center"/>
          </w:tcPr>
          <w:p>
            <w:pPr>
              <w:spacing w:line="300" w:lineRule="exact"/>
              <w:jc w:val="right"/>
              <w:rPr>
                <w:rFonts w:hint="eastAsia" w:ascii="仿宋_GB2312" w:hAnsi="仿宋_GB2312" w:eastAsia="仿宋_GB2312" w:cs="仿宋_GB2312"/>
              </w:rPr>
            </w:pPr>
          </w:p>
        </w:tc>
      </w:tr>
    </w:tbl>
    <w:p>
      <w:pPr>
        <w:spacing w:line="584" w:lineRule="exact"/>
        <w:jc w:val="left"/>
        <w:outlineLvl w:val="0"/>
        <w:rPr>
          <w:rFonts w:hint="eastAsia" w:ascii="仿宋_GB2312" w:hAnsi="仿宋_GB2312" w:eastAsia="仿宋_GB2312" w:cs="仿宋_GB2312"/>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3168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河北大城经济开发区管理委员会（含所属单位）上年末固定资产金额为</w:t>
      </w:r>
      <w:r>
        <w:rPr>
          <w:rFonts w:hint="eastAsia" w:ascii="仿宋_GB2312" w:hAnsi="仿宋_GB2312" w:eastAsia="仿宋_GB2312" w:cs="仿宋_GB2312"/>
          <w:sz w:val="32"/>
          <w:szCs w:val="32"/>
          <w:lang w:val="en-US" w:eastAsia="zh-CN"/>
        </w:rPr>
        <w:t>1255933.75</w:t>
      </w:r>
      <w:r>
        <w:rPr>
          <w:rFonts w:hint="eastAsia" w:ascii="仿宋_GB2312" w:hAnsi="仿宋_GB2312" w:eastAsia="仿宋_GB2312" w:cs="仿宋_GB2312"/>
          <w:sz w:val="32"/>
          <w:szCs w:val="32"/>
        </w:rPr>
        <w:t>万元，详见下表。本年度</w:t>
      </w:r>
      <w:r>
        <w:rPr>
          <w:rFonts w:hint="eastAsia" w:ascii="仿宋_GB2312" w:hAnsi="仿宋_GB2312" w:eastAsia="仿宋_GB2312" w:cs="仿宋_GB2312"/>
          <w:sz w:val="32"/>
          <w:szCs w:val="32"/>
          <w:lang w:eastAsia="zh-CN"/>
        </w:rPr>
        <w:t>我部门拟购</w:t>
      </w:r>
      <w:r>
        <w:rPr>
          <w:rFonts w:hint="eastAsia" w:ascii="仿宋_GB2312" w:hAnsi="仿宋_GB2312" w:eastAsia="仿宋_GB2312" w:cs="仿宋_GB2312"/>
          <w:sz w:val="32"/>
          <w:szCs w:val="32"/>
        </w:rPr>
        <w:t>置固定资产</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10万元，主要为计算机设备、打印设备等，未列入政府采购预算</w:t>
      </w:r>
      <w:r>
        <w:rPr>
          <w:rFonts w:hint="eastAsia" w:ascii="仿宋_GB2312" w:hAnsi="仿宋_GB2312" w:eastAsia="仿宋_GB2312" w:cs="仿宋_GB2312"/>
          <w:sz w:val="32"/>
          <w:szCs w:val="32"/>
          <w:lang w:eastAsia="zh-CN"/>
        </w:rPr>
        <w:t>。</w:t>
      </w:r>
    </w:p>
    <w:p>
      <w:pPr>
        <w:spacing w:line="584" w:lineRule="exact"/>
        <w:ind w:firstLine="640"/>
        <w:rPr>
          <w:rFonts w:hint="eastAsia" w:ascii="仿宋_GB2312" w:hAnsi="仿宋_GB2312" w:eastAsia="仿宋_GB2312" w:cs="仿宋_GB2312"/>
          <w:sz w:val="32"/>
          <w:szCs w:val="32"/>
        </w:rPr>
      </w:pP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河北大城经济开发区管理委员会固定资产占用情况表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编制部门：河北大城经济开发区管理委员会</w:t>
            </w:r>
          </w:p>
        </w:tc>
        <w:tc>
          <w:tcPr>
            <w:tcW w:w="5103" w:type="dxa"/>
            <w:tcBorders>
              <w:top w:val="nil"/>
              <w:left w:val="nil"/>
              <w:bottom w:val="nil"/>
              <w:right w:val="nil"/>
            </w:tcBorders>
            <w:vAlign w:val="center"/>
          </w:tcPr>
          <w:p>
            <w:pPr>
              <w:widowControl/>
              <w:spacing w:line="584"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截止时间：2018年12月31日</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hint="eastAsia" w:ascii="仿宋_GB2312" w:hAnsi="仿宋_GB2312" w:eastAsia="仿宋_GB2312" w:cs="仿宋_GB2312"/>
                <w:b/>
                <w:bCs/>
                <w:kern w:val="0"/>
                <w:sz w:val="22"/>
              </w:rPr>
            </w:pPr>
            <w:r>
              <w:rPr>
                <w:rFonts w:hint="eastAsia" w:ascii="仿宋_GB2312" w:hAnsi="仿宋_GB2312" w:eastAsia="仿宋_GB2312" w:cs="仿宋_GB2312"/>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1255933.75</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1、房屋（平方米）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2、车辆（台、辆）</w:t>
            </w:r>
          </w:p>
        </w:tc>
        <w:tc>
          <w:tcPr>
            <w:tcW w:w="3155"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2</w:t>
            </w:r>
          </w:p>
        </w:tc>
        <w:tc>
          <w:tcPr>
            <w:tcW w:w="5103"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246970</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3、单价在20万元以上的设备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4、其他固定资产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hint="eastAsia" w:ascii="仿宋_GB2312" w:hAnsi="仿宋_GB2312" w:eastAsia="仿宋_GB2312" w:cs="仿宋_GB2312"/>
                <w:sz w:val="22"/>
              </w:rPr>
            </w:pPr>
            <w:r>
              <w:rPr>
                <w:rFonts w:hint="eastAsia" w:ascii="仿宋_GB2312" w:hAnsi="仿宋_GB2312" w:eastAsia="仿宋_GB2312" w:cs="仿宋_GB2312"/>
                <w:sz w:val="22"/>
              </w:rPr>
              <w:t>1008963.75</w:t>
            </w:r>
          </w:p>
        </w:tc>
      </w:tr>
    </w:tbl>
    <w:p>
      <w:pPr>
        <w:autoSpaceDE w:val="0"/>
        <w:autoSpaceDN w:val="0"/>
        <w:adjustRightInd w:val="0"/>
        <w:spacing w:line="584" w:lineRule="exact"/>
        <w:ind w:firstLine="3168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31680" w:firstLineChars="200"/>
        <w:rPr>
          <w:rFonts w:hint="eastAsia" w:ascii="仿宋_GB2312" w:hAnsi="仿宋_GB2312" w:eastAsia="仿宋_GB2312" w:cs="仿宋_GB2312"/>
          <w:sz w:val="32"/>
          <w:szCs w:val="32"/>
        </w:rPr>
      </w:pPr>
      <w:r>
        <w:rPr>
          <w:rFonts w:hint="eastAsia" w:ascii="楷体" w:hAnsi="楷体" w:eastAsia="楷体" w:cs="楷体"/>
          <w:b/>
          <w:sz w:val="32"/>
          <w:szCs w:val="32"/>
        </w:rPr>
        <w:t>1、一般公共预算拨款收入：</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级财政当年拨付的资金。</w:t>
      </w:r>
    </w:p>
    <w:p>
      <w:pPr>
        <w:tabs>
          <w:tab w:val="left" w:pos="11490"/>
        </w:tabs>
        <w:spacing w:line="584" w:lineRule="exact"/>
        <w:ind w:firstLine="31680" w:firstLineChars="200"/>
        <w:rPr>
          <w:rFonts w:hint="eastAsia" w:ascii="仿宋_GB2312" w:hAnsi="仿宋_GB2312" w:eastAsia="仿宋_GB2312" w:cs="仿宋_GB2312"/>
          <w:sz w:val="32"/>
          <w:szCs w:val="32"/>
        </w:rPr>
      </w:pPr>
      <w:r>
        <w:rPr>
          <w:rFonts w:hint="eastAsia" w:ascii="楷体" w:hAnsi="楷体" w:eastAsia="楷体" w:cs="楷体"/>
          <w:b/>
          <w:sz w:val="32"/>
          <w:szCs w:val="32"/>
        </w:rPr>
        <w:t>2、事业收入：</w:t>
      </w:r>
      <w:r>
        <w:rPr>
          <w:rFonts w:hint="eastAsia" w:ascii="仿宋_GB2312" w:hAnsi="仿宋_GB2312" w:eastAsia="仿宋_GB2312" w:cs="仿宋_GB2312"/>
          <w:sz w:val="32"/>
          <w:szCs w:val="32"/>
        </w:rPr>
        <w:t>指事业单位开展专业业务活动及辅助活动所取得的收入。</w:t>
      </w:r>
    </w:p>
    <w:p>
      <w:pPr>
        <w:tabs>
          <w:tab w:val="left" w:pos="11490"/>
        </w:tabs>
        <w:spacing w:line="584" w:lineRule="exact"/>
        <w:ind w:firstLine="31680" w:firstLineChars="200"/>
        <w:rPr>
          <w:rFonts w:hint="eastAsia" w:ascii="仿宋_GB2312" w:hAnsi="仿宋_GB2312" w:eastAsia="仿宋_GB2312" w:cs="仿宋_GB2312"/>
          <w:b/>
          <w:sz w:val="32"/>
          <w:szCs w:val="32"/>
        </w:rPr>
      </w:pPr>
      <w:r>
        <w:rPr>
          <w:rFonts w:hint="eastAsia" w:ascii="楷体" w:hAnsi="楷体" w:eastAsia="楷体" w:cs="楷体"/>
          <w:b/>
          <w:sz w:val="32"/>
          <w:szCs w:val="32"/>
        </w:rPr>
        <w:t>3、其他收入：</w:t>
      </w:r>
      <w:r>
        <w:rPr>
          <w:rFonts w:hint="eastAsia" w:ascii="仿宋_GB2312" w:hAnsi="仿宋_GB2312" w:eastAsia="仿宋_GB2312" w:cs="仿宋_GB2312"/>
          <w:sz w:val="32"/>
          <w:szCs w:val="32"/>
        </w:rPr>
        <w:t>指除“一般公共预算拨款收入”、“事业收入”等以外的收入。主要是按规定动用的租房收入、存款利息收入等。</w:t>
      </w:r>
    </w:p>
    <w:p>
      <w:pPr>
        <w:tabs>
          <w:tab w:val="left" w:pos="11490"/>
        </w:tabs>
        <w:spacing w:line="584" w:lineRule="exact"/>
        <w:ind w:firstLine="31680" w:firstLineChars="200"/>
        <w:rPr>
          <w:rFonts w:hint="eastAsia" w:ascii="仿宋_GB2312" w:hAnsi="仿宋_GB2312" w:eastAsia="仿宋_GB2312" w:cs="仿宋_GB2312"/>
          <w:sz w:val="32"/>
          <w:szCs w:val="32"/>
        </w:rPr>
      </w:pPr>
      <w:r>
        <w:rPr>
          <w:rFonts w:hint="eastAsia" w:ascii="楷体" w:hAnsi="楷体" w:eastAsia="楷体" w:cs="楷体"/>
          <w:b/>
          <w:sz w:val="32"/>
          <w:szCs w:val="32"/>
        </w:rPr>
        <w:t>4、基本支出：</w:t>
      </w:r>
      <w:r>
        <w:rPr>
          <w:rFonts w:hint="eastAsia" w:ascii="仿宋_GB2312" w:hAnsi="仿宋_GB2312" w:eastAsia="仿宋_GB2312" w:cs="仿宋_GB2312"/>
          <w:sz w:val="32"/>
          <w:szCs w:val="32"/>
        </w:rPr>
        <w:t>指为保障机构正常运转、完成日常工作任务而发生的人员支出和公用支出。</w:t>
      </w:r>
    </w:p>
    <w:p>
      <w:pPr>
        <w:tabs>
          <w:tab w:val="left" w:pos="11490"/>
        </w:tabs>
        <w:spacing w:line="584" w:lineRule="exact"/>
        <w:ind w:firstLine="31680" w:firstLineChars="200"/>
        <w:rPr>
          <w:rFonts w:hint="eastAsia" w:ascii="仿宋_GB2312" w:hAnsi="仿宋_GB2312" w:eastAsia="仿宋_GB2312" w:cs="仿宋_GB2312"/>
          <w:sz w:val="32"/>
          <w:szCs w:val="32"/>
        </w:rPr>
      </w:pPr>
      <w:r>
        <w:rPr>
          <w:rFonts w:hint="eastAsia" w:ascii="楷体" w:hAnsi="楷体" w:eastAsia="楷体" w:cs="楷体"/>
          <w:b/>
          <w:sz w:val="32"/>
          <w:szCs w:val="32"/>
        </w:rPr>
        <w:t>5、项目支出：</w:t>
      </w:r>
      <w:r>
        <w:rPr>
          <w:rFonts w:hint="eastAsia" w:ascii="仿宋_GB2312" w:hAnsi="仿宋_GB2312" w:eastAsia="仿宋_GB2312" w:cs="仿宋_GB2312"/>
          <w:sz w:val="32"/>
          <w:szCs w:val="32"/>
        </w:rPr>
        <w:t>指在基本支出之外为完成特定行政任务和事业发展目标所发生的支出。</w:t>
      </w:r>
    </w:p>
    <w:p>
      <w:pPr>
        <w:tabs>
          <w:tab w:val="left" w:pos="11490"/>
        </w:tabs>
        <w:spacing w:line="584" w:lineRule="exact"/>
        <w:ind w:firstLine="31680" w:firstLineChars="200"/>
        <w:rPr>
          <w:rFonts w:hint="eastAsia" w:ascii="仿宋_GB2312" w:hAnsi="仿宋_GB2312" w:eastAsia="仿宋_GB2312" w:cs="仿宋_GB2312"/>
          <w:sz w:val="32"/>
          <w:szCs w:val="32"/>
        </w:rPr>
      </w:pPr>
      <w:r>
        <w:rPr>
          <w:rFonts w:hint="eastAsia" w:ascii="楷体" w:hAnsi="楷体" w:eastAsia="楷体" w:cs="楷体"/>
          <w:b/>
          <w:sz w:val="32"/>
          <w:szCs w:val="32"/>
        </w:rPr>
        <w:t>6、上缴上级支出：</w:t>
      </w:r>
      <w:r>
        <w:rPr>
          <w:rFonts w:hint="eastAsia" w:ascii="仿宋_GB2312" w:hAnsi="仿宋_GB2312" w:eastAsia="仿宋_GB2312" w:cs="仿宋_GB2312"/>
          <w:sz w:val="32"/>
          <w:szCs w:val="32"/>
        </w:rPr>
        <w:t>指下级单位上缴上级的支出。</w:t>
      </w:r>
    </w:p>
    <w:p>
      <w:pPr>
        <w:tabs>
          <w:tab w:val="left" w:pos="11490"/>
        </w:tabs>
        <w:spacing w:line="584" w:lineRule="exact"/>
        <w:ind w:firstLine="31680" w:firstLineChars="200"/>
        <w:rPr>
          <w:rFonts w:hint="eastAsia" w:ascii="仿宋_GB2312" w:hAnsi="仿宋_GB2312" w:eastAsia="仿宋_GB2312" w:cs="仿宋_GB2312"/>
          <w:sz w:val="32"/>
          <w:szCs w:val="32"/>
        </w:rPr>
      </w:pPr>
      <w:r>
        <w:rPr>
          <w:rFonts w:hint="eastAsia" w:ascii="楷体" w:hAnsi="楷体" w:eastAsia="楷体" w:cs="楷体"/>
          <w:b/>
          <w:sz w:val="32"/>
          <w:szCs w:val="32"/>
        </w:rPr>
        <w:t>7、“三公”经费：</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级财政预算管理的“三公”经费，是指</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31680" w:firstLineChars="200"/>
        <w:rPr>
          <w:rFonts w:hint="eastAsia" w:ascii="仿宋_GB2312" w:hAnsi="仿宋_GB2312" w:eastAsia="仿宋_GB2312" w:cs="仿宋_GB2312"/>
          <w:sz w:val="32"/>
          <w:szCs w:val="32"/>
        </w:rPr>
      </w:pPr>
      <w:r>
        <w:rPr>
          <w:rFonts w:hint="eastAsia" w:ascii="楷体" w:hAnsi="楷体" w:eastAsia="楷体" w:cs="楷体"/>
          <w:b/>
          <w:sz w:val="32"/>
          <w:szCs w:val="32"/>
        </w:rPr>
        <w:t>8、机关运行费：</w:t>
      </w:r>
      <w:r>
        <w:rPr>
          <w:rFonts w:hint="eastAsia" w:ascii="仿宋_GB2312" w:hAnsi="仿宋_GB2312" w:eastAsia="仿宋_GB2312" w:cs="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31680" w:firstLineChars="200"/>
        <w:rPr>
          <w:rFonts w:hint="eastAsia" w:ascii="仿宋_GB2312" w:hAnsi="仿宋_GB2312" w:eastAsia="仿宋_GB2312" w:cs="仿宋_GB2312"/>
          <w:sz w:val="32"/>
          <w:szCs w:val="32"/>
        </w:rPr>
      </w:pPr>
      <w:r>
        <w:rPr>
          <w:rFonts w:hint="eastAsia" w:ascii="楷体" w:hAnsi="楷体" w:eastAsia="楷体" w:cs="楷体"/>
          <w:b/>
          <w:sz w:val="32"/>
          <w:szCs w:val="32"/>
        </w:rPr>
        <w:t>9、上年结转：</w:t>
      </w:r>
      <w:r>
        <w:rPr>
          <w:rFonts w:hint="eastAsia" w:ascii="仿宋_GB2312" w:hAnsi="仿宋_GB2312" w:eastAsia="仿宋_GB2312" w:cs="仿宋_GB2312"/>
          <w:sz w:val="32"/>
          <w:szCs w:val="32"/>
        </w:rPr>
        <w:t>指以前年度尚未完成、结转到本年仍按原规定用途继续使用的资金。</w:t>
      </w:r>
    </w:p>
    <w:p>
      <w:pPr>
        <w:tabs>
          <w:tab w:val="left" w:pos="11490"/>
        </w:tabs>
        <w:spacing w:line="584" w:lineRule="exact"/>
        <w:ind w:firstLine="31680" w:firstLineChars="200"/>
        <w:rPr>
          <w:rFonts w:hint="eastAsia" w:ascii="仿宋_GB2312" w:hAnsi="仿宋_GB2312" w:eastAsia="仿宋_GB2312" w:cs="仿宋_GB2312"/>
          <w:sz w:val="32"/>
          <w:szCs w:val="32"/>
        </w:rPr>
      </w:pPr>
      <w:r>
        <w:rPr>
          <w:rFonts w:hint="eastAsia" w:ascii="楷体" w:hAnsi="楷体" w:eastAsia="楷体" w:cs="楷体"/>
          <w:b/>
          <w:sz w:val="32"/>
          <w:szCs w:val="32"/>
        </w:rPr>
        <w:t>10、事业单位经营支出：</w:t>
      </w:r>
      <w:r>
        <w:rPr>
          <w:rFonts w:hint="eastAsia" w:ascii="仿宋_GB2312" w:hAnsi="仿宋_GB2312" w:eastAsia="仿宋_GB2312" w:cs="仿宋_GB2312"/>
          <w:sz w:val="32"/>
          <w:szCs w:val="32"/>
        </w:rPr>
        <w:t>指事业单位在专业业务活动及其辅助活动之外开展非独立核算经营活动发生的支出。</w:t>
      </w:r>
    </w:p>
    <w:p>
      <w:pPr>
        <w:autoSpaceDE w:val="0"/>
        <w:autoSpaceDN w:val="0"/>
        <w:adjustRightInd w:val="0"/>
        <w:spacing w:line="584" w:lineRule="exact"/>
        <w:ind w:firstLine="3168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DaunPenh">
    <w:panose1 w:val="01010101010101010101"/>
    <w:charset w:val="00"/>
    <w:family w:val="auto"/>
    <w:pitch w:val="default"/>
    <w:sig w:usb0="00000003" w:usb1="00000000" w:usb2="00010000" w:usb3="00000000" w:csb0="00000001" w:csb1="00000000"/>
  </w:font>
  <w:font w:name="MV Boli">
    <w:panose1 w:val="02000500030200090000"/>
    <w:charset w:val="00"/>
    <w:family w:val="auto"/>
    <w:pitch w:val="default"/>
    <w:sig w:usb0="00000003" w:usb1="00000000" w:usb2="00000100" w:usb3="00000000" w:csb0="0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Segoe UI">
    <w:panose1 w:val="020B0502040204020203"/>
    <w:charset w:val="00"/>
    <w:family w:val="auto"/>
    <w:pitch w:val="default"/>
    <w:sig w:usb0="E10022FF" w:usb1="C000E47F" w:usb2="00000029" w:usb3="00000000" w:csb0="200001DF" w:csb1="20000000"/>
  </w:font>
  <w:font w:name="Shonar Bangla">
    <w:panose1 w:val="020B0502040204020203"/>
    <w:charset w:val="00"/>
    <w:family w:val="auto"/>
    <w:pitch w:val="default"/>
    <w:sig w:usb0="0001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Arial Black">
    <w:panose1 w:val="020B0A04020102020204"/>
    <w:charset w:val="00"/>
    <w:family w:val="auto"/>
    <w:pitch w:val="default"/>
    <w:sig w:usb0="00000287" w:usb1="00000000" w:usb2="00000000" w:usb3="00000000" w:csb0="2000009F" w:csb1="DFD70000"/>
  </w:font>
  <w:font w:name="CordiaUPC">
    <w:panose1 w:val="020B0304020202020204"/>
    <w:charset w:val="00"/>
    <w:family w:val="auto"/>
    <w:pitch w:val="default"/>
    <w:sig w:usb0="81000003" w:usb1="00000000" w:usb2="00000000" w:usb3="00000000" w:csb0="00010001" w:csb1="00000000"/>
  </w:font>
  <w:font w:name="IrisUPC">
    <w:panose1 w:val="020B0604020202020204"/>
    <w:charset w:val="00"/>
    <w:family w:val="auto"/>
    <w:pitch w:val="default"/>
    <w:sig w:usb0="01000007" w:usb1="00000002" w:usb2="00000000" w:usb3="00000000" w:csb0="00010001" w:csb1="00000000"/>
  </w:font>
  <w:font w:name="MS Outlook">
    <w:panose1 w:val="05010100010000000000"/>
    <w:charset w:val="00"/>
    <w:family w:val="auto"/>
    <w:pitch w:val="default"/>
    <w:sig w:usb0="00000000" w:usb1="00000000" w:usb2="00000000" w:usb3="00000000" w:csb0="8000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Comic Sans MS">
    <w:panose1 w:val="030F0702030302020204"/>
    <w:charset w:val="00"/>
    <w:family w:val="auto"/>
    <w:pitch w:val="default"/>
    <w:sig w:usb0="00000287" w:usb1="00000000" w:usb2="00000000" w:usb3="00000000" w:csb0="2000009F" w:csb1="00000000"/>
  </w:font>
  <w:font w:name="Courier New">
    <w:panose1 w:val="02070309020205020404"/>
    <w:charset w:val="00"/>
    <w:family w:val="auto"/>
    <w:pitch w:val="default"/>
    <w:sig w:usb0="E0002AFF" w:usb1="C0007843" w:usb2="00000009" w:usb3="00000000" w:csb0="400001FF" w:csb1="FFFF0000"/>
  </w:font>
  <w:font w:name="DilleniaUPC">
    <w:panose1 w:val="02020603050405020304"/>
    <w:charset w:val="00"/>
    <w:family w:val="auto"/>
    <w:pitch w:val="default"/>
    <w:sig w:usb0="8100002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MS Reference Sans Serif">
    <w:panose1 w:val="020B0604030504040204"/>
    <w:charset w:val="00"/>
    <w:family w:val="auto"/>
    <w:pitch w:val="default"/>
    <w:sig w:usb0="00000287" w:usb1="00000000" w:usb2="00000000" w:usb3="00000000" w:csb0="2000019F" w:csb1="000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Dotu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ngsanaUPC">
    <w:panose1 w:val="020206030504050203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Kokila">
    <w:panose1 w:val="020B0604020202020204"/>
    <w:charset w:val="00"/>
    <w:family w:val="auto"/>
    <w:pitch w:val="default"/>
    <w:sig w:usb0="00008003" w:usb1="00000000" w:usb2="00000000" w:usb3="00000000" w:csb0="00000001" w:csb1="00000000"/>
  </w:font>
  <w:font w:name="Kalinga">
    <w:panose1 w:val="020B0502040204020203"/>
    <w:charset w:val="00"/>
    <w:family w:val="auto"/>
    <w:pitch w:val="default"/>
    <w:sig w:usb0="00080003" w:usb1="00000000" w:usb2="00000000" w:usb3="00000000" w:csb0="00000001" w:csb1="00000000"/>
  </w:font>
  <w:font w:name="JasmineUPC">
    <w:panose1 w:val="02020603050405020304"/>
    <w:charset w:val="00"/>
    <w:family w:val="auto"/>
    <w:pitch w:val="default"/>
    <w:sig w:usb0="01000007" w:usb1="00000002" w:usb2="00000000" w:usb3="00000000" w:csb0="00010001" w:csb1="00000000"/>
  </w:font>
  <w:font w:name="Georgia">
    <w:panose1 w:val="02040502050405020303"/>
    <w:charset w:val="00"/>
    <w:family w:val="auto"/>
    <w:pitch w:val="default"/>
    <w:sig w:usb0="00000287" w:usb1="00000000" w:usb2="00000000" w:usb3="00000000" w:csb0="2000009F" w:csb1="00000000"/>
  </w:font>
  <w:font w:name="FrankRuehl">
    <w:panose1 w:val="020E0503060101010101"/>
    <w:charset w:val="00"/>
    <w:family w:val="auto"/>
    <w:pitch w:val="default"/>
    <w:sig w:usb0="00000801" w:usb1="00000000" w:usb2="00000000" w:usb3="00000000" w:csb0="00000020" w:csb1="00200000"/>
  </w:font>
  <w:font w:name="Euphemia">
    <w:panose1 w:val="020B0503040102020104"/>
    <w:charset w:val="00"/>
    <w:family w:val="auto"/>
    <w:pitch w:val="default"/>
    <w:sig w:usb0="8000006F" w:usb1="0000004A" w:usb2="00002000" w:usb3="00000000" w:csb0="00000001" w:csb1="00000000"/>
  </w:font>
  <w:font w:name="EucrosiaUPC">
    <w:panose1 w:val="02020603050405020304"/>
    <w:charset w:val="00"/>
    <w:family w:val="auto"/>
    <w:pitch w:val="default"/>
    <w:sig w:usb0="81000027" w:usb1="00000002"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9</w:t>
    </w:r>
    <w:r>
      <w:rPr>
        <w:lang w:val="zh-CN"/>
      </w:rPr>
      <w:fldChar w:fldCharType="end"/>
    </w:r>
    <w: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10564"/>
    <w:rsid w:val="00037AF6"/>
    <w:rsid w:val="000410F2"/>
    <w:rsid w:val="0004565F"/>
    <w:rsid w:val="00066E07"/>
    <w:rsid w:val="00072187"/>
    <w:rsid w:val="00075D5F"/>
    <w:rsid w:val="0008180F"/>
    <w:rsid w:val="00093DA3"/>
    <w:rsid w:val="000A125B"/>
    <w:rsid w:val="000B529B"/>
    <w:rsid w:val="000C24E6"/>
    <w:rsid w:val="000C345A"/>
    <w:rsid w:val="000C3A19"/>
    <w:rsid w:val="000E4305"/>
    <w:rsid w:val="000F0D09"/>
    <w:rsid w:val="001245BB"/>
    <w:rsid w:val="001251A3"/>
    <w:rsid w:val="0015229A"/>
    <w:rsid w:val="00160266"/>
    <w:rsid w:val="001643E8"/>
    <w:rsid w:val="00176C13"/>
    <w:rsid w:val="001919C4"/>
    <w:rsid w:val="0019723B"/>
    <w:rsid w:val="001A0943"/>
    <w:rsid w:val="001A5828"/>
    <w:rsid w:val="001B5C1D"/>
    <w:rsid w:val="001D287A"/>
    <w:rsid w:val="001E0757"/>
    <w:rsid w:val="001E6DDC"/>
    <w:rsid w:val="001E70E9"/>
    <w:rsid w:val="001F5C92"/>
    <w:rsid w:val="001F7873"/>
    <w:rsid w:val="002001A3"/>
    <w:rsid w:val="00230E48"/>
    <w:rsid w:val="00241FD4"/>
    <w:rsid w:val="00246317"/>
    <w:rsid w:val="00251B12"/>
    <w:rsid w:val="00265318"/>
    <w:rsid w:val="00266BE3"/>
    <w:rsid w:val="002740C2"/>
    <w:rsid w:val="002835D7"/>
    <w:rsid w:val="00290FD6"/>
    <w:rsid w:val="00293364"/>
    <w:rsid w:val="00296113"/>
    <w:rsid w:val="002A673A"/>
    <w:rsid w:val="002C5E13"/>
    <w:rsid w:val="002C62BC"/>
    <w:rsid w:val="002E0449"/>
    <w:rsid w:val="002E0EB8"/>
    <w:rsid w:val="002F3C01"/>
    <w:rsid w:val="002F3E58"/>
    <w:rsid w:val="0030542C"/>
    <w:rsid w:val="00311B7A"/>
    <w:rsid w:val="003126B6"/>
    <w:rsid w:val="00313D9C"/>
    <w:rsid w:val="00325215"/>
    <w:rsid w:val="0033339C"/>
    <w:rsid w:val="00336987"/>
    <w:rsid w:val="00340B53"/>
    <w:rsid w:val="003517B7"/>
    <w:rsid w:val="0035775D"/>
    <w:rsid w:val="0036086E"/>
    <w:rsid w:val="003874EF"/>
    <w:rsid w:val="003B6D37"/>
    <w:rsid w:val="003C7F80"/>
    <w:rsid w:val="00414BD3"/>
    <w:rsid w:val="00424943"/>
    <w:rsid w:val="0042727E"/>
    <w:rsid w:val="0043175C"/>
    <w:rsid w:val="00437296"/>
    <w:rsid w:val="00451590"/>
    <w:rsid w:val="00451871"/>
    <w:rsid w:val="004706DE"/>
    <w:rsid w:val="00472923"/>
    <w:rsid w:val="00486DCD"/>
    <w:rsid w:val="0049120C"/>
    <w:rsid w:val="004B0C3A"/>
    <w:rsid w:val="004C49A8"/>
    <w:rsid w:val="004D5788"/>
    <w:rsid w:val="004E3066"/>
    <w:rsid w:val="004E419C"/>
    <w:rsid w:val="004E74CD"/>
    <w:rsid w:val="004F05E7"/>
    <w:rsid w:val="00517E12"/>
    <w:rsid w:val="00524EFD"/>
    <w:rsid w:val="00547F19"/>
    <w:rsid w:val="00554F4B"/>
    <w:rsid w:val="00572067"/>
    <w:rsid w:val="00573562"/>
    <w:rsid w:val="00590ECE"/>
    <w:rsid w:val="005979BF"/>
    <w:rsid w:val="005B3F56"/>
    <w:rsid w:val="005C0E90"/>
    <w:rsid w:val="005D0C27"/>
    <w:rsid w:val="005D37CA"/>
    <w:rsid w:val="005F5714"/>
    <w:rsid w:val="005F7AE1"/>
    <w:rsid w:val="00600299"/>
    <w:rsid w:val="00611D03"/>
    <w:rsid w:val="00614A29"/>
    <w:rsid w:val="00636109"/>
    <w:rsid w:val="00651BA2"/>
    <w:rsid w:val="00673D76"/>
    <w:rsid w:val="006854F0"/>
    <w:rsid w:val="006B1C4A"/>
    <w:rsid w:val="006B610D"/>
    <w:rsid w:val="006C206A"/>
    <w:rsid w:val="006C559C"/>
    <w:rsid w:val="006E49F5"/>
    <w:rsid w:val="007013C8"/>
    <w:rsid w:val="007047AE"/>
    <w:rsid w:val="00727C84"/>
    <w:rsid w:val="0074338E"/>
    <w:rsid w:val="00753836"/>
    <w:rsid w:val="0075393C"/>
    <w:rsid w:val="00754592"/>
    <w:rsid w:val="00776C08"/>
    <w:rsid w:val="007928BD"/>
    <w:rsid w:val="007B49AA"/>
    <w:rsid w:val="007C219A"/>
    <w:rsid w:val="007E1DA8"/>
    <w:rsid w:val="007F0BFC"/>
    <w:rsid w:val="007F1335"/>
    <w:rsid w:val="007F6C26"/>
    <w:rsid w:val="00800B4F"/>
    <w:rsid w:val="00800F72"/>
    <w:rsid w:val="00811795"/>
    <w:rsid w:val="00813208"/>
    <w:rsid w:val="00815157"/>
    <w:rsid w:val="0083348E"/>
    <w:rsid w:val="008334AE"/>
    <w:rsid w:val="00836FED"/>
    <w:rsid w:val="0083724E"/>
    <w:rsid w:val="00841D53"/>
    <w:rsid w:val="00845CD2"/>
    <w:rsid w:val="00852B0D"/>
    <w:rsid w:val="0085425A"/>
    <w:rsid w:val="00862CE4"/>
    <w:rsid w:val="00864B7F"/>
    <w:rsid w:val="00881692"/>
    <w:rsid w:val="00882539"/>
    <w:rsid w:val="008839D6"/>
    <w:rsid w:val="008858FF"/>
    <w:rsid w:val="008A6576"/>
    <w:rsid w:val="008B3CC5"/>
    <w:rsid w:val="008B52CD"/>
    <w:rsid w:val="008C7C4D"/>
    <w:rsid w:val="008E4261"/>
    <w:rsid w:val="008E70D4"/>
    <w:rsid w:val="008F4662"/>
    <w:rsid w:val="0090563F"/>
    <w:rsid w:val="00905D08"/>
    <w:rsid w:val="00906672"/>
    <w:rsid w:val="00925753"/>
    <w:rsid w:val="00937F8B"/>
    <w:rsid w:val="009425F4"/>
    <w:rsid w:val="00943BD8"/>
    <w:rsid w:val="00954B2C"/>
    <w:rsid w:val="00966C5C"/>
    <w:rsid w:val="00973104"/>
    <w:rsid w:val="009832B7"/>
    <w:rsid w:val="009842F6"/>
    <w:rsid w:val="00995BF0"/>
    <w:rsid w:val="009A16D5"/>
    <w:rsid w:val="009A353D"/>
    <w:rsid w:val="009B0B77"/>
    <w:rsid w:val="009B511E"/>
    <w:rsid w:val="009B5215"/>
    <w:rsid w:val="009C6C86"/>
    <w:rsid w:val="009D37D3"/>
    <w:rsid w:val="00A16E6C"/>
    <w:rsid w:val="00A36F96"/>
    <w:rsid w:val="00A40F60"/>
    <w:rsid w:val="00A44E3D"/>
    <w:rsid w:val="00A47F02"/>
    <w:rsid w:val="00A539D4"/>
    <w:rsid w:val="00A72D2E"/>
    <w:rsid w:val="00A74447"/>
    <w:rsid w:val="00A74CE5"/>
    <w:rsid w:val="00A77500"/>
    <w:rsid w:val="00A8536F"/>
    <w:rsid w:val="00A911E7"/>
    <w:rsid w:val="00A939D9"/>
    <w:rsid w:val="00AB77AA"/>
    <w:rsid w:val="00AC4748"/>
    <w:rsid w:val="00AD5259"/>
    <w:rsid w:val="00B01D36"/>
    <w:rsid w:val="00B078CD"/>
    <w:rsid w:val="00B20712"/>
    <w:rsid w:val="00B43238"/>
    <w:rsid w:val="00B45DD3"/>
    <w:rsid w:val="00B54B90"/>
    <w:rsid w:val="00B64D40"/>
    <w:rsid w:val="00B64FA8"/>
    <w:rsid w:val="00B73582"/>
    <w:rsid w:val="00B75216"/>
    <w:rsid w:val="00B755A2"/>
    <w:rsid w:val="00B9104C"/>
    <w:rsid w:val="00B91D52"/>
    <w:rsid w:val="00B9490F"/>
    <w:rsid w:val="00BA1ACD"/>
    <w:rsid w:val="00BD09F8"/>
    <w:rsid w:val="00C005B2"/>
    <w:rsid w:val="00C1565C"/>
    <w:rsid w:val="00C21E0F"/>
    <w:rsid w:val="00C362CA"/>
    <w:rsid w:val="00C732BF"/>
    <w:rsid w:val="00C772C1"/>
    <w:rsid w:val="00CA7176"/>
    <w:rsid w:val="00CB3230"/>
    <w:rsid w:val="00CB51D7"/>
    <w:rsid w:val="00CC75B0"/>
    <w:rsid w:val="00CC7B84"/>
    <w:rsid w:val="00CD2773"/>
    <w:rsid w:val="00CE01BA"/>
    <w:rsid w:val="00CE143B"/>
    <w:rsid w:val="00CE3A91"/>
    <w:rsid w:val="00D07DBA"/>
    <w:rsid w:val="00D23C16"/>
    <w:rsid w:val="00D27003"/>
    <w:rsid w:val="00D324AD"/>
    <w:rsid w:val="00D3609C"/>
    <w:rsid w:val="00D9307A"/>
    <w:rsid w:val="00DA76CB"/>
    <w:rsid w:val="00DB4322"/>
    <w:rsid w:val="00DD1D0C"/>
    <w:rsid w:val="00DE186D"/>
    <w:rsid w:val="00E167C7"/>
    <w:rsid w:val="00E32E4D"/>
    <w:rsid w:val="00E55B78"/>
    <w:rsid w:val="00E73AF6"/>
    <w:rsid w:val="00E76361"/>
    <w:rsid w:val="00E84020"/>
    <w:rsid w:val="00E906B2"/>
    <w:rsid w:val="00EB7A80"/>
    <w:rsid w:val="00EC47F6"/>
    <w:rsid w:val="00EE6D6D"/>
    <w:rsid w:val="00EF08C9"/>
    <w:rsid w:val="00EF535E"/>
    <w:rsid w:val="00F471F7"/>
    <w:rsid w:val="00F66032"/>
    <w:rsid w:val="00F83B96"/>
    <w:rsid w:val="00F8441D"/>
    <w:rsid w:val="00F87C1E"/>
    <w:rsid w:val="00F958C2"/>
    <w:rsid w:val="00FA740E"/>
    <w:rsid w:val="00FC06C7"/>
    <w:rsid w:val="00FC2B40"/>
    <w:rsid w:val="00FD5DB4"/>
    <w:rsid w:val="00FD676E"/>
    <w:rsid w:val="00FE1724"/>
    <w:rsid w:val="00FE5FBF"/>
    <w:rsid w:val="00FE753C"/>
    <w:rsid w:val="00FF2346"/>
    <w:rsid w:val="1D4C58BC"/>
    <w:rsid w:val="1D8B468F"/>
    <w:rsid w:val="21AA4A7C"/>
    <w:rsid w:val="24CC4C48"/>
    <w:rsid w:val="295B048C"/>
    <w:rsid w:val="397F3C9C"/>
    <w:rsid w:val="46740D4A"/>
    <w:rsid w:val="473B2D11"/>
    <w:rsid w:val="5D5375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4"/>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9">
    <w:name w:val="footnote reference"/>
    <w:basedOn w:val="8"/>
    <w:qFormat/>
    <w:uiPriority w:val="99"/>
    <w:rPr>
      <w:rFonts w:cs="Times New Roman"/>
      <w:vertAlign w:val="superscript"/>
    </w:rPr>
  </w:style>
  <w:style w:type="character" w:customStyle="1" w:styleId="11">
    <w:name w:val="Balloon Text Char"/>
    <w:basedOn w:val="8"/>
    <w:link w:val="2"/>
    <w:semiHidden/>
    <w:qFormat/>
    <w:locked/>
    <w:uiPriority w:val="99"/>
    <w:rPr>
      <w:rFonts w:cs="Times New Roman"/>
      <w:sz w:val="18"/>
      <w:szCs w:val="18"/>
    </w:rPr>
  </w:style>
  <w:style w:type="character" w:customStyle="1" w:styleId="12">
    <w:name w:val="Footer Char"/>
    <w:basedOn w:val="8"/>
    <w:link w:val="3"/>
    <w:qFormat/>
    <w:locked/>
    <w:uiPriority w:val="99"/>
    <w:rPr>
      <w:rFonts w:ascii="Times New Roman" w:hAnsi="Times New Roman" w:eastAsia="宋体" w:cs="Times New Roman"/>
      <w:sz w:val="18"/>
      <w:szCs w:val="18"/>
    </w:rPr>
  </w:style>
  <w:style w:type="character" w:customStyle="1" w:styleId="13">
    <w:name w:val="Header Char"/>
    <w:basedOn w:val="8"/>
    <w:link w:val="4"/>
    <w:qFormat/>
    <w:locked/>
    <w:uiPriority w:val="99"/>
    <w:rPr>
      <w:rFonts w:ascii="Times New Roman" w:hAnsi="Times New Roman" w:eastAsia="宋体" w:cs="Times New Roman"/>
      <w:sz w:val="18"/>
      <w:szCs w:val="18"/>
    </w:rPr>
  </w:style>
  <w:style w:type="character" w:customStyle="1" w:styleId="14">
    <w:name w:val="Footnote Text Char"/>
    <w:basedOn w:val="8"/>
    <w:link w:val="6"/>
    <w:semiHidden/>
    <w:qFormat/>
    <w:locked/>
    <w:uiPriority w:val="99"/>
    <w:rPr>
      <w:rFonts w:ascii="Calibri" w:hAnsi="Calibri" w:eastAsia="宋体" w:cs="Times New Roman"/>
      <w:sz w:val="18"/>
      <w:szCs w:val="18"/>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956</Words>
  <Characters>5451</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2019-01-16T09:51:00Z</dcterms:created>
  <dc:creator>guest</dc:creator>
  <cp:lastModifiedBy>Administrator</cp:lastModifiedBy>
  <cp:lastPrinted>2019-02-05T03:29:00Z</cp:lastPrinted>
  <dcterms:modified xsi:type="dcterms:W3CDTF">2019-02-09T08:20:50Z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