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大城县大尚屯镇人民政府</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Times New Roman" w:hAnsi="Times New Roman" w:eastAsia="仿宋_GB2312" w:cs="Times New Roman"/>
          <w:sz w:val="32"/>
          <w:szCs w:val="32"/>
        </w:rPr>
        <w:t>按照《预算法》、《地方预决算公开操作规程》和《河北省省级预算公开办法》规定，</w:t>
      </w:r>
      <w:r>
        <w:rPr>
          <w:rFonts w:hint="eastAsia" w:ascii="仿宋_GB2312" w:hAnsi="仿宋_GB2312" w:eastAsia="仿宋_GB2312" w:cs="仿宋_GB2312"/>
          <w:sz w:val="32"/>
          <w:szCs w:val="32"/>
        </w:rPr>
        <w:t>现将大城县大尚屯镇人民政府2019年部门预算公开如下：</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、党委：负责贯彻、执行党的路线、方针、政策、法律、法规和上级党委、政府、镇党委的指示、决定、决议。</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、政府：负责全镇的经济建设、计划统筹、人事劳动、财政、统计、乡镇企业管理、劳务管理和信访工作。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、人大：负责全镇人大各方面工作。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、财政：负责</w:t>
      </w:r>
      <w:r>
        <w:rPr>
          <w:rFonts w:hint="eastAsia" w:ascii="仿宋_GB2312" w:hAnsi="仿宋_GB2312" w:eastAsia="仿宋_GB2312" w:cs="仿宋_GB2312"/>
          <w:sz w:val="32"/>
          <w:szCs w:val="32"/>
          <w:lang w:eastAsia="zh-CN"/>
        </w:rPr>
        <w:t>全</w:t>
      </w:r>
      <w:r>
        <w:rPr>
          <w:rFonts w:hint="eastAsia" w:ascii="仿宋_GB2312" w:hAnsi="仿宋_GB2312" w:eastAsia="仿宋_GB2312" w:cs="仿宋_GB2312"/>
          <w:sz w:val="32"/>
          <w:szCs w:val="32"/>
        </w:rPr>
        <w:t>镇财政收支、预决算的编制执行、财政资金使用监管、国有资产管理工作、各项惠农补贴发放工作。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计生：负责宣传贯彻上级关于人口和计划生育法律、法规、方针、政策；制定本乡镇人口发展的中长期规划和年度计划；负责辖区内常住、暂住、流动人口的计划生育行政管理；受理计划生育来信来访，查处违反计划生育政策的案件；监督指导计划生育服务中心的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、农业：负责全镇的科学发展技术工作、农业综合开发工作、农村经济工作、和林业工作。</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、水利：负责全镇水利各方面工作。</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8、广播：组织开展科普教育活动，引导农民开展健康有益的文娱体育活动；负责群众文艺骨干辅导和培训工作；搜集、整理民间文化艺术遗产；负责文物保护工作。</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hint="eastAsia" w:ascii="Times New Roman" w:hAnsi="Times New Roman" w:eastAsia="楷体_GB2312" w:cs="Times New Roman"/>
          <w:b/>
          <w:sz w:val="32"/>
          <w:szCs w:val="32"/>
          <w:lang w:val="en-US" w:eastAsia="zh-CN"/>
        </w:rPr>
      </w:pPr>
      <w:r>
        <w:rPr>
          <w:rFonts w:ascii="Times New Roman" w:hAnsi="Times New Roman" w:eastAsia="楷体_GB2312" w:cs="Times New Roman"/>
          <w:b/>
          <w:sz w:val="32"/>
          <w:szCs w:val="32"/>
        </w:rPr>
        <w:t>机构设置：</w:t>
      </w:r>
      <w:r>
        <w:rPr>
          <w:rFonts w:hint="eastAsia" w:ascii="Times New Roman" w:hAnsi="Times New Roman" w:eastAsia="楷体_GB2312" w:cs="Times New Roman"/>
          <w:b/>
          <w:sz w:val="32"/>
          <w:szCs w:val="32"/>
          <w:lang w:val="en-US" w:eastAsia="zh-CN"/>
        </w:rPr>
        <w:t xml:space="preserve">   </w:t>
      </w:r>
    </w:p>
    <w:p>
      <w:pPr>
        <w:autoSpaceDE w:val="0"/>
        <w:autoSpaceDN w:val="0"/>
        <w:adjustRightInd w:val="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部门机构设置情况</w:t>
      </w:r>
    </w:p>
    <w:tbl>
      <w:tblPr>
        <w:tblStyle w:val="10"/>
        <w:tblW w:w="11287" w:type="dxa"/>
        <w:tblInd w:w="1191" w:type="dxa"/>
        <w:tblLayout w:type="fixed"/>
        <w:tblCellMar>
          <w:top w:w="0" w:type="dxa"/>
          <w:left w:w="108" w:type="dxa"/>
          <w:bottom w:w="0" w:type="dxa"/>
          <w:right w:w="108" w:type="dxa"/>
        </w:tblCellMar>
      </w:tblPr>
      <w:tblGrid>
        <w:gridCol w:w="2737"/>
        <w:gridCol w:w="2119"/>
        <w:gridCol w:w="2531"/>
        <w:gridCol w:w="3900"/>
      </w:tblGrid>
      <w:tr>
        <w:tblPrEx>
          <w:tblLayout w:type="fixed"/>
          <w:tblCellMar>
            <w:top w:w="0" w:type="dxa"/>
            <w:left w:w="108" w:type="dxa"/>
            <w:bottom w:w="0" w:type="dxa"/>
            <w:right w:w="108" w:type="dxa"/>
          </w:tblCellMar>
        </w:tblPrEx>
        <w:trPr>
          <w:trHeight w:val="346" w:hRule="atLeast"/>
        </w:trPr>
        <w:tc>
          <w:tcPr>
            <w:tcW w:w="2737" w:type="dxa"/>
            <w:tcBorders>
              <w:top w:val="single" w:color="auto" w:sz="4" w:space="0"/>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b/>
                <w:bCs/>
              </w:rPr>
            </w:pPr>
            <w:r>
              <w:rPr>
                <w:rFonts w:hint="eastAsia" w:ascii="方正书宋_GBK" w:eastAsia="方正书宋_GBK"/>
                <w:b/>
                <w:bCs/>
              </w:rPr>
              <w:t>单位名称</w:t>
            </w:r>
          </w:p>
        </w:tc>
        <w:tc>
          <w:tcPr>
            <w:tcW w:w="2119" w:type="dxa"/>
            <w:tcBorders>
              <w:top w:val="single" w:color="auto" w:sz="4" w:space="0"/>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b/>
                <w:bCs/>
              </w:rPr>
            </w:pPr>
            <w:r>
              <w:rPr>
                <w:rFonts w:hint="eastAsia" w:ascii="方正书宋_GBK" w:eastAsia="方正书宋_GBK"/>
                <w:b/>
                <w:bCs/>
              </w:rPr>
              <w:t>单位性质</w:t>
            </w:r>
          </w:p>
        </w:tc>
        <w:tc>
          <w:tcPr>
            <w:tcW w:w="2531" w:type="dxa"/>
            <w:tcBorders>
              <w:top w:val="single" w:color="auto" w:sz="4" w:space="0"/>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b/>
                <w:bCs/>
              </w:rPr>
            </w:pPr>
            <w:r>
              <w:rPr>
                <w:rFonts w:hint="eastAsia" w:ascii="方正书宋_GBK" w:eastAsia="方正书宋_GBK"/>
                <w:b/>
                <w:bCs/>
              </w:rPr>
              <w:t>单位规格</w:t>
            </w:r>
          </w:p>
        </w:tc>
        <w:tc>
          <w:tcPr>
            <w:tcW w:w="3900" w:type="dxa"/>
            <w:tcBorders>
              <w:top w:val="single" w:color="auto" w:sz="4" w:space="0"/>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b/>
                <w:bCs/>
              </w:rPr>
            </w:pPr>
            <w:r>
              <w:rPr>
                <w:rFonts w:hint="eastAsia" w:ascii="方正书宋_GBK" w:eastAsia="方正书宋_GBK"/>
                <w:b/>
                <w:bCs/>
              </w:rPr>
              <w:t>经费保障形式</w:t>
            </w:r>
          </w:p>
        </w:tc>
      </w:tr>
      <w:tr>
        <w:tblPrEx>
          <w:tblLayout w:type="fixed"/>
          <w:tblCellMar>
            <w:top w:w="0" w:type="dxa"/>
            <w:left w:w="108" w:type="dxa"/>
            <w:bottom w:w="0" w:type="dxa"/>
            <w:right w:w="108" w:type="dxa"/>
          </w:tblCellMar>
        </w:tblPrEx>
        <w:trPr>
          <w:trHeight w:val="356"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大尚屯镇党委</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行政</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正科级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财政拨款</w:t>
            </w:r>
          </w:p>
        </w:tc>
      </w:tr>
      <w:tr>
        <w:tblPrEx>
          <w:tblLayout w:type="fixed"/>
          <w:tblCellMar>
            <w:top w:w="0" w:type="dxa"/>
            <w:left w:w="108" w:type="dxa"/>
            <w:bottom w:w="0" w:type="dxa"/>
            <w:right w:w="108" w:type="dxa"/>
          </w:tblCellMar>
        </w:tblPrEx>
        <w:trPr>
          <w:trHeight w:val="394"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大尚屯镇政府办</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行政</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正科级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财政拨款</w:t>
            </w:r>
          </w:p>
        </w:tc>
      </w:tr>
      <w:tr>
        <w:tblPrEx>
          <w:tblLayout w:type="fixed"/>
          <w:tblCellMar>
            <w:top w:w="0" w:type="dxa"/>
            <w:left w:w="108" w:type="dxa"/>
            <w:bottom w:w="0" w:type="dxa"/>
            <w:right w:w="108" w:type="dxa"/>
          </w:tblCellMar>
        </w:tblPrEx>
        <w:trPr>
          <w:trHeight w:val="375"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大尚屯镇人大</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行政</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正科级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财政拨款</w:t>
            </w:r>
          </w:p>
        </w:tc>
      </w:tr>
      <w:tr>
        <w:tblPrEx>
          <w:tblLayout w:type="fixed"/>
          <w:tblCellMar>
            <w:top w:w="0" w:type="dxa"/>
            <w:left w:w="108" w:type="dxa"/>
            <w:bottom w:w="0" w:type="dxa"/>
            <w:right w:w="108" w:type="dxa"/>
          </w:tblCellMar>
        </w:tblPrEx>
        <w:trPr>
          <w:trHeight w:val="394"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大尚屯镇财政所</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Layout w:type="fixed"/>
          <w:tblCellMar>
            <w:top w:w="0" w:type="dxa"/>
            <w:left w:w="108" w:type="dxa"/>
            <w:bottom w:w="0" w:type="dxa"/>
            <w:right w:w="108" w:type="dxa"/>
          </w:tblCellMar>
        </w:tblPrEx>
        <w:trPr>
          <w:trHeight w:val="392"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大尚屯镇计生</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Layout w:type="fixed"/>
          <w:tblCellMar>
            <w:top w:w="0" w:type="dxa"/>
            <w:left w:w="108" w:type="dxa"/>
            <w:bottom w:w="0" w:type="dxa"/>
            <w:right w:w="108" w:type="dxa"/>
          </w:tblCellMar>
        </w:tblPrEx>
        <w:trPr>
          <w:trHeight w:val="337"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大尚屯镇农业</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Layout w:type="fixed"/>
          <w:tblCellMar>
            <w:top w:w="0" w:type="dxa"/>
            <w:left w:w="108" w:type="dxa"/>
            <w:bottom w:w="0" w:type="dxa"/>
            <w:right w:w="108" w:type="dxa"/>
          </w:tblCellMar>
        </w:tblPrEx>
        <w:trPr>
          <w:trHeight w:val="375"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大尚屯镇水利</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r>
        <w:tblPrEx>
          <w:tblLayout w:type="fixed"/>
          <w:tblCellMar>
            <w:top w:w="0" w:type="dxa"/>
            <w:left w:w="108" w:type="dxa"/>
            <w:bottom w:w="0" w:type="dxa"/>
            <w:right w:w="108" w:type="dxa"/>
          </w:tblCellMar>
        </w:tblPrEx>
        <w:trPr>
          <w:trHeight w:val="366" w:hRule="atLeast"/>
        </w:trPr>
        <w:tc>
          <w:tcPr>
            <w:tcW w:w="2737" w:type="dxa"/>
            <w:tcBorders>
              <w:top w:val="nil"/>
              <w:left w:val="single" w:color="auto" w:sz="4" w:space="0"/>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大尚屯镇广播</w:t>
            </w:r>
          </w:p>
        </w:tc>
        <w:tc>
          <w:tcPr>
            <w:tcW w:w="2119"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事业</w:t>
            </w:r>
          </w:p>
        </w:tc>
        <w:tc>
          <w:tcPr>
            <w:tcW w:w="2531"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股级</w:t>
            </w:r>
          </w:p>
        </w:tc>
        <w:tc>
          <w:tcPr>
            <w:tcW w:w="3900" w:type="dxa"/>
            <w:tcBorders>
              <w:top w:val="nil"/>
              <w:left w:val="nil"/>
              <w:bottom w:val="single" w:color="auto" w:sz="4" w:space="0"/>
              <w:right w:val="single" w:color="auto" w:sz="4" w:space="0"/>
            </w:tcBorders>
            <w:shd w:val="clear" w:color="auto" w:fill="auto"/>
            <w:vAlign w:val="bottom"/>
          </w:tcPr>
          <w:p>
            <w:pPr>
              <w:spacing w:line="300" w:lineRule="exact"/>
              <w:jc w:val="center"/>
              <w:rPr>
                <w:rFonts w:hint="eastAsia" w:ascii="方正书宋_GBK" w:eastAsia="方正书宋_GBK"/>
              </w:rPr>
            </w:pPr>
            <w:r>
              <w:rPr>
                <w:rFonts w:hint="eastAsia" w:ascii="方正书宋_GBK" w:eastAsia="方正书宋_GBK"/>
              </w:rPr>
              <w:t>财政性资金基本保证</w:t>
            </w:r>
          </w:p>
        </w:tc>
      </w:tr>
    </w:tbl>
    <w:p>
      <w:pPr>
        <w:keepNext w:val="0"/>
        <w:keepLines w:val="0"/>
        <w:pageBreakBefore w:val="0"/>
        <w:widowControl w:val="0"/>
        <w:kinsoku/>
        <w:wordWrap/>
        <w:overflowPunct/>
        <w:topLinePunct w:val="0"/>
        <w:bidi w:val="0"/>
        <w:snapToGrid/>
        <w:spacing w:line="580" w:lineRule="exact"/>
        <w:ind w:left="0" w:leftChars="0" w:right="0" w:rightChars="0"/>
        <w:textAlignment w:val="auto"/>
        <w:outlineLvl w:val="9"/>
        <w:rPr>
          <w:rFonts w:ascii="Times New Roman" w:hAnsi="Times New Roman" w:eastAsia="黑体" w:cs="Times New Roman"/>
          <w:sz w:val="32"/>
          <w:szCs w:val="32"/>
        </w:rPr>
      </w:pPr>
      <w:r>
        <w:rPr>
          <w:rFonts w:hint="eastAsia" w:ascii="Times New Roman" w:hAnsi="黑体" w:eastAsia="黑体" w:cs="Times New Roman"/>
          <w:sz w:val="32"/>
          <w:szCs w:val="32"/>
          <w:lang w:val="en-US" w:eastAsia="zh-CN"/>
        </w:rPr>
        <w:t xml:space="preserve">    </w:t>
      </w:r>
      <w:r>
        <w:rPr>
          <w:rFonts w:ascii="Times New Roman" w:hAnsi="黑体" w:eastAsia="黑体" w:cs="Times New Roman"/>
          <w:sz w:val="32"/>
          <w:szCs w:val="32"/>
        </w:rPr>
        <w:t>二、部门预算安排的总体情况</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部门预算的编制实行综合预算制度，即全部收入和支出都反映在预算中。</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1、收入说明</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反映本部门当年全部收入。2019年预算收入1407.56万元，其中：一般公共预算收入1407.56万元，基金预算收入0万元，财政专户核拨收入0万元，其他来源收入0万元。</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2、支出说明</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我部门2019年度部门预算中支出预算的总体情况。2019年支出预算1407.56万元，其中基本支出1009.96万元，包括人员经费909.54万元和日常公用经费100.42万元；项目支出397.6万元，</w:t>
      </w:r>
      <w:r>
        <w:rPr>
          <w:rFonts w:hint="eastAsia" w:ascii="仿宋_GB2312" w:hAnsi="仿宋_GB2312" w:eastAsia="仿宋_GB2312" w:cs="仿宋_GB2312"/>
          <w:sz w:val="32"/>
          <w:szCs w:val="32"/>
          <w:lang w:eastAsia="zh-CN"/>
        </w:rPr>
        <w:t>全部为</w:t>
      </w:r>
      <w:r>
        <w:rPr>
          <w:rFonts w:hint="eastAsia" w:ascii="仿宋_GB2312" w:hAnsi="仿宋_GB2312" w:eastAsia="仿宋_GB2312" w:cs="仿宋_GB2312"/>
          <w:sz w:val="32"/>
          <w:szCs w:val="32"/>
        </w:rPr>
        <w:t>本级支出397.6万元，主要为鞭炮治理工作经费、信访维稳经费、土地整理经费、建档立卡贫困户扶贫帮扶专项经费、安监经费、环保经费、农村环境整治经费。</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楷体" w:hAnsi="楷体" w:eastAsia="楷体" w:cs="楷体"/>
          <w:b/>
          <w:sz w:val="32"/>
          <w:szCs w:val="32"/>
        </w:rPr>
      </w:pPr>
      <w:r>
        <w:rPr>
          <w:rFonts w:hint="eastAsia" w:ascii="楷体" w:hAnsi="楷体" w:eastAsia="楷体" w:cs="楷体"/>
          <w:b/>
          <w:sz w:val="32"/>
          <w:szCs w:val="32"/>
        </w:rPr>
        <w:t>3、比上年增减情况</w:t>
      </w:r>
    </w:p>
    <w:p>
      <w:pPr>
        <w:keepNext w:val="0"/>
        <w:keepLines w:val="0"/>
        <w:pageBreakBefore w:val="0"/>
        <w:widowControl w:val="0"/>
        <w:kinsoku/>
        <w:wordWrap/>
        <w:overflowPunct/>
        <w:topLinePunct w:val="0"/>
        <w:bidi w:val="0"/>
        <w:snapToGrid/>
        <w:spacing w:line="58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2019年预算收支安排1407.56万元，较2018年预算增加250.87万元，其中：基本支出增加100.75万元，主要为</w:t>
      </w:r>
      <w:r>
        <w:rPr>
          <w:rFonts w:hint="eastAsia" w:ascii="仿宋_GB2312" w:hAnsi="仿宋_GB2312" w:eastAsia="仿宋_GB2312" w:cs="仿宋_GB2312"/>
          <w:color w:val="000000"/>
          <w:sz w:val="32"/>
          <w:szCs w:val="32"/>
        </w:rPr>
        <w:t>增加人员经费支出</w:t>
      </w:r>
      <w:r>
        <w:rPr>
          <w:rFonts w:hint="eastAsia" w:ascii="仿宋_GB2312" w:hAnsi="仿宋_GB2312" w:eastAsia="仿宋_GB2312" w:cs="仿宋_GB2312"/>
          <w:sz w:val="32"/>
          <w:szCs w:val="32"/>
        </w:rPr>
        <w:t>支出；项目支出增加150.12万元，主要为土地整理经费、建档立卡贫困户扶贫专项经费等项目支出。</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2019年，我部门机关运行经费共计安排100.42万元，主要用于我部门的日常办公费、日常维修、办公用房水电费、公务用车运行维护费等日常运行支出。</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2019年，我部门财政拨款“三公”经费预算安排2万元。其中，因公出国（境）费0万元；公务用车购置及运维费2万元（其中：公务用车购置费为0万元，公务用车运维费2万元)；公务接待费0万元。与201</w:t>
      </w:r>
      <w:bookmarkStart w:id="3" w:name="_GoBack"/>
      <w:bookmarkEnd w:id="3"/>
      <w:r>
        <w:rPr>
          <w:rFonts w:hint="eastAsia" w:ascii="仿宋_GB2312" w:hAnsi="仿宋_GB2312" w:eastAsia="仿宋_GB2312" w:cs="仿宋_GB2312"/>
          <w:sz w:val="32"/>
          <w:szCs w:val="32"/>
        </w:rPr>
        <w:t>8年相比减少17万元，其中：公务用车购置及运维费减少17万元（其中：公务用车购置费与2018年相比持平，公务用车运维费减少17万元)，主要原因我部门切实落实勤俭节约各项规定，压减公车运行经费支出。公务接待费与2018年相比持平。</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hint="eastAsia" w:ascii="Times New Roman" w:hAnsi="Times New Roman" w:eastAsia="黑体" w:cs="Times New Roman"/>
          <w:sz w:val="32"/>
          <w:szCs w:val="32"/>
        </w:rPr>
      </w:pPr>
      <w:r>
        <w:rPr>
          <w:rFonts w:ascii="Times New Roman" w:hAnsi="黑体" w:eastAsia="黑体" w:cs="Times New Roman"/>
          <w:sz w:val="32"/>
          <w:szCs w:val="32"/>
        </w:rPr>
        <w:t>五、绩效预算信息</w:t>
      </w:r>
      <w:bookmarkStart w:id="0" w:name="_Toc471398463"/>
    </w:p>
    <w:p>
      <w:pPr>
        <w:keepNext w:val="0"/>
        <w:keepLines w:val="0"/>
        <w:pageBreakBefore w:val="0"/>
        <w:widowControl w:val="0"/>
        <w:kinsoku/>
        <w:wordWrap/>
        <w:overflowPunct/>
        <w:topLinePunct w:val="0"/>
        <w:bidi w:val="0"/>
        <w:snapToGrid/>
        <w:spacing w:line="580" w:lineRule="exact"/>
        <w:ind w:left="0" w:leftChars="0" w:right="0" w:rightChars="0" w:firstLine="643" w:firstLineChars="200"/>
        <w:textAlignment w:val="auto"/>
        <w:outlineLvl w:val="9"/>
        <w:rPr>
          <w:rFonts w:hint="eastAsia" w:ascii="Times New Roman" w:hAnsi="Times New Roman" w:eastAsia="黑体" w:cs="Times New Roman"/>
          <w:sz w:val="32"/>
          <w:szCs w:val="32"/>
        </w:rPr>
      </w:pPr>
      <w:r>
        <w:rPr>
          <w:rFonts w:ascii="Times New Roman" w:hAnsi="Times New Roman" w:eastAsia="楷体_GB2312" w:cs="Times New Roman"/>
          <w:b/>
          <w:sz w:val="32"/>
          <w:szCs w:val="32"/>
        </w:rPr>
        <w:t>总体绩效目标：</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、加大农村生态环境整治工作力度，打造绿色宜居乡村，改善全镇55个村街人居和生态环境质量。</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、加大招商引资项目建设力度，新增千万元以上项目1</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个，亿元以上项目1个。</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、加大小散乱污企业整治工作力度，关停取缔</w:t>
      </w:r>
      <w:r>
        <w:rPr>
          <w:rFonts w:hint="eastAsia" w:ascii="仿宋_GB2312" w:hAnsi="仿宋_GB2312" w:eastAsia="仿宋_GB2312" w:cs="仿宋_GB2312"/>
          <w:sz w:val="32"/>
          <w:szCs w:val="32"/>
        </w:rPr>
        <w:t>32</w:t>
      </w:r>
      <w:r>
        <w:rPr>
          <w:rFonts w:ascii="仿宋_GB2312" w:hAnsi="仿宋_GB2312" w:eastAsia="仿宋_GB2312" w:cs="仿宋_GB2312"/>
          <w:sz w:val="32"/>
          <w:szCs w:val="32"/>
        </w:rPr>
        <w:t>家，整改</w:t>
      </w:r>
      <w:r>
        <w:rPr>
          <w:rFonts w:hint="eastAsia" w:ascii="仿宋_GB2312" w:hAnsi="仿宋_GB2312" w:eastAsia="仿宋_GB2312" w:cs="仿宋_GB2312"/>
          <w:sz w:val="32"/>
          <w:szCs w:val="32"/>
        </w:rPr>
        <w:t>72</w:t>
      </w:r>
      <w:r>
        <w:rPr>
          <w:rFonts w:ascii="仿宋_GB2312" w:hAnsi="仿宋_GB2312" w:eastAsia="仿宋_GB2312" w:cs="仿宋_GB2312"/>
          <w:sz w:val="32"/>
          <w:szCs w:val="32"/>
        </w:rPr>
        <w:t>家。</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、加大道路交通工作实施力度，对一部分桥梁和道路进行翻修和修补工作，改善近二十个村街群众的出行困难的局面。</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、加大植树造林工作力度，完成县局下达的全镇绿化任务。</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、加大安全生产及鞭炮治理工作力度，开展全镇安全生产执法检查及鞭炮整治专项工作检查次数不低于</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次。</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szCs w:val="32"/>
        </w:rPr>
        <w:t>、加大农业产业发展力度，种植黄瓜、芦笋、食用菌等蔬菜种植面积达到9000亩，葡萄、梨、苹果、桃等水果种植面积达到1万亩，生猪、奶牛、蛋鸡等畜禽养殖达到160万头、只。</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、加大市场监管力度，促进税收工作，完成全年税收任务。</w:t>
      </w:r>
    </w:p>
    <w:p>
      <w:pPr>
        <w:keepNext w:val="0"/>
        <w:keepLines w:val="0"/>
        <w:pageBreakBefore w:val="0"/>
        <w:widowControl w:val="0"/>
        <w:kinsoku/>
        <w:wordWrap/>
        <w:overflowPunct/>
        <w:topLinePunct w:val="0"/>
        <w:bidi w:val="0"/>
        <w:snapToGrid/>
        <w:spacing w:line="580"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szCs w:val="32"/>
        </w:rPr>
        <w:t>、加大建档立卡贫困户扶贫工作，引导贫困户致富不低于10户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80" w:lineRule="exact"/>
        <w:ind w:right="0" w:rightChars="0" w:firstLine="640" w:firstLineChars="200"/>
        <w:jc w:val="left"/>
        <w:textAlignment w:val="auto"/>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部门职责及工作活动绩效目标指标：</w:t>
      </w:r>
    </w:p>
    <w:p>
      <w:pPr>
        <w:keepNext w:val="0"/>
        <w:keepLines w:val="0"/>
        <w:pageBreakBefore w:val="0"/>
        <w:widowControl w:val="0"/>
        <w:kinsoku/>
        <w:wordWrap/>
        <w:overflowPunct/>
        <w:topLinePunct w:val="0"/>
        <w:bidi w:val="0"/>
        <w:snapToGrid/>
        <w:spacing w:line="580" w:lineRule="exact"/>
        <w:ind w:right="0" w:rightChars="0"/>
        <w:jc w:val="left"/>
        <w:textAlignment w:val="auto"/>
        <w:outlineLvl w:val="9"/>
        <w:rPr>
          <w:rFonts w:hint="eastAsia" w:ascii="仿宋_GB2312" w:hAnsi="仿宋_GB2312" w:eastAsia="仿宋_GB2312" w:cs="仿宋_GB2312"/>
          <w:sz w:val="32"/>
          <w:szCs w:val="32"/>
        </w:rPr>
      </w:pPr>
    </w:p>
    <w:bookmarkEnd w:id="0"/>
    <w:p>
      <w:pPr>
        <w:jc w:val="center"/>
        <w:outlineLvl w:val="0"/>
        <w:rPr>
          <w:rFonts w:ascii="方正小标宋_GBK" w:eastAsia="方正小标宋_GBK"/>
          <w:color w:val="FFFFFF"/>
          <w:sz w:val="32"/>
        </w:rPr>
      </w:pPr>
      <w:bookmarkStart w:id="1" w:name="_Toc2084087"/>
      <w:bookmarkStart w:id="2" w:name="_Toc504489147"/>
      <w:r>
        <w:rPr>
          <w:rFonts w:hint="eastAsia" w:ascii="方正小标宋_GBK" w:eastAsia="方正小标宋_GBK"/>
          <w:sz w:val="32"/>
        </w:rPr>
        <w:t>部门职责-工作活动绩效目标</w:t>
      </w:r>
      <w:r>
        <w:rPr>
          <w:rStyle w:val="9"/>
          <w:rFonts w:ascii="方正小标宋_GBK" w:eastAsia="方正小标宋_GBK"/>
          <w:color w:val="FFFFFF"/>
          <w:sz w:val="32"/>
        </w:rPr>
        <w:footnoteReference w:id="0" w:customMarkFollows="1"/>
        <w:sym w:font="Symbol" w:char="F020"/>
      </w:r>
      <w:bookmarkEnd w:id="1"/>
    </w:p>
    <w:tbl>
      <w:tblPr>
        <w:tblStyle w:val="10"/>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502</w:t>
            </w:r>
            <w:r>
              <w:rPr>
                <w:rFonts w:hint="eastAsia" w:ascii="方正小标宋_GBK" w:eastAsia="方正小标宋_GBK"/>
                <w:sz w:val="24"/>
              </w:rPr>
              <w:t>大城县大尚屯镇人民政府</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一、计划生育</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坚持计划生育基本国策，提供各类计划生育技术服务，建立计划生育利益导向机制，开展出生人口性别比治理以及流动人口计划生育管理等各项工作。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保持适度的低生育水平，有效保障计划生育家庭生活水平，提高妇女生殖健康水平，降低出生缺陷的发生，有效遏制出生人口性别比偏高问题。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、计划生育家庭发展与利益导向机制建设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通过实施国家奖扶、特扶等制度，创建幸福家庭等工作，全面提高计划生育家庭的发展能力。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有效引导群众自觉实行计划生育，加强计划生育家庭的发展能力，提高计划生育家庭的凝聚力及成员幸福感</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计划生育政策落实率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、计划生育指导与管理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做好出生人口性别比治理工作，加强流动人口计划生育管理，提升基层基础计划生育队伍服务水平。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逐步扩大流动人口卫生计生基本公共服务均等化覆盖面</w:t>
            </w:r>
            <w:r>
              <w:rPr>
                <w:rFonts w:ascii="方正书宋_GBK" w:eastAsia="方正书宋_GBK"/>
              </w:rPr>
              <w:t>,</w:t>
            </w:r>
            <w:r>
              <w:rPr>
                <w:rFonts w:hint="eastAsia" w:ascii="方正书宋_GBK" w:eastAsia="方正书宋_GBK"/>
              </w:rPr>
              <w:t>提高计划生育依法行政能力</w:t>
            </w:r>
            <w:r>
              <w:rPr>
                <w:rFonts w:ascii="方正书宋_GBK" w:eastAsia="方正书宋_GBK"/>
              </w:rPr>
              <w:t>,</w:t>
            </w:r>
            <w:r>
              <w:rPr>
                <w:rFonts w:hint="eastAsia" w:ascii="方正书宋_GBK" w:eastAsia="方正书宋_GBK"/>
              </w:rPr>
              <w:t>提高各类人群计划生育服务满意度</w:t>
            </w:r>
            <w:r>
              <w:rPr>
                <w:rFonts w:ascii="方正书宋_GBK" w:eastAsia="方正书宋_GBK"/>
              </w:rPr>
              <w:t>,</w:t>
            </w:r>
            <w:r>
              <w:rPr>
                <w:rFonts w:hint="eastAsia" w:ascii="方正书宋_GBK" w:eastAsia="方正书宋_GBK"/>
              </w:rPr>
              <w:t>促进社会和谐发展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流动人口计划生育服务满意率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、计划生育群众工作</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协助政府开展计划生育群众自治、亲情关爱及幸福工程等工作，动员广大群众自觉参与和实行各项计划生育政策。</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增进广大育龄群众和计生家庭福祉，提高群众自觉实行计划生育的积极性。</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计划生育基层群众</w:t>
            </w:r>
            <w:r>
              <w:rPr>
                <w:rFonts w:hint="cs" w:ascii="方正书宋_GBK" w:eastAsia="方正书宋_GBK"/>
              </w:rPr>
              <w:t>“</w:t>
            </w:r>
            <w:r>
              <w:rPr>
                <w:rFonts w:hint="eastAsia" w:ascii="方正书宋_GBK" w:eastAsia="方正书宋_GBK"/>
              </w:rPr>
              <w:t>亲情关爱</w:t>
            </w:r>
            <w:r>
              <w:rPr>
                <w:rFonts w:hint="cs" w:ascii="方正书宋_GBK" w:eastAsia="方正书宋_GBK"/>
              </w:rPr>
              <w:t>”</w:t>
            </w:r>
            <w:r>
              <w:rPr>
                <w:rFonts w:hint="eastAsia" w:ascii="方正书宋_GBK" w:eastAsia="方正书宋_GBK"/>
              </w:rPr>
              <w:t>行动帮扶覆盖面</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二、林业生态建设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完成县委县政府制定的造林任务及全镇森林覆盖率考核目标。有效改善生态环境。</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、造林绿化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全镇造林绿化的指导性计划，贯彻落实国家、省有关标准和规程，指导公益林和商品林的培育，指导植树造林和以植树种草等生物措施防治水土流失工作，指导监督全民义务植树和造林绿化工作。承担林业应对气候变化的相关工作。承担镇绿化委员会的日常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增加有林地面积，提高全镇绿化水平和森林覆盖率，改善生态环境。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全年造林绿化工程完成合格面积统计数据。</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三、生态环境综合整治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生态环境综合整治</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加强大气、水体、机动车污染防治，加强固体废弃物、重金属等重点污染治理工程的防治工作；加强村街卫生环境整治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、农村环境综合整治</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解决农村区域性突出环境问题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农村垃圾、污水收集处理完成情况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、重点污染治理工程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加强对影响全镇环境质量的重点污染物排放进行防治，引导促进全镇环境保护污染减排工程建设，推动污染综合防治活动开展。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开展全镇重点污染工程防治工作，推动污染防治工作开展，改善我镇环境质量。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重点污染治理工程完成情况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四、安全生产</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组织开展对辖区内生产经营的企业、个人的巡逻防控及监管工作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依法对存在安全隐患的企业进行整改，对违法企业进行取缔，维护社会稳定</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、巡查监管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组织专门的工作人员开展安全生产巡逻防控监管工作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通过检查安全生产，最大限度地发现、纠正、督促企业消除各类隐患，预防和减少事故的发生，确保乡镇安全生产形势持续稳定好转，加大安全生产宣传和信息公开力度，提高全社会安全生产意识。</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检查覆盖率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五、人大事务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人大监督、人大会议、选举和任免及日常综合工作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执法检查；会议筹备；换届选举及人事任免服务工作</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、综合事务管理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人大监督、人大会议、选举和任免及日常综合工作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确保乡镇人大换届选举工作顺利完成，提高组织换届选举工作水平；高质量完成乡镇领导人选举和常委会人事任免服务工作；高效督办有关部门负责人的目标责任书和述职报告。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换届选举工作完成率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六、党委事务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负责贯彻执行党的路线、方针、政策和上级党委及本级党代会（党员大会）的决议。领导镇镇政权机关和群团组织，支持和保证这些机关、组织依照国家法律法规及各自章程充分行使职权。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本镇全局性的工作进行领导。以经济建设为中心，全面推进改革开放和现代化建设。对社会经济发展战略、总体规划、指导方针及其它重大问题作出决策，认真组织实施，切实保证社会各项事业健康发展，集体经济实力不断增强，农民人均纯收入较大幅度增加，生活水平不断提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8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、党委工作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72.00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加强党的建设。增强镇党委抓农村基层组织建设的直接责任意识，形成农村基层组织建设常抓不懈的工作机制。通过党组织的战斗堡垒作用和党员的先锋模范作用，增强党在人民群众中的凝聚力和号召力。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增强镇党委抓农村基层组织建设的直接责任意识，形成农村基层组织建设常抓不懈的工作机制。通过党组织的战斗堡垒作用和党员的先锋模范作用，增强党在人民群众中的凝聚力和号召力。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确保党委事务有效运转</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七、政府事务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204.60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按照有关要求，做好机关办公服务工作。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降低运行成本，为创建节约型机关打下了良好的基础。提升了服务管理水平，及时了解国内外形势、党和国家的方针政策以及镇委、镇政府办公室的重要部署和要求，及时为政府工作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、政府工作</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204.60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宣传、落实好党的路线、方针、政策和国家的法律、法规，稳定农村基本经济制度，坚持依法行政，推进政务公开，加强对村民委员会的指导，提高、培育村民委员会自治能力。</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确保政府工作高效完成。</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22"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八、财务核算管理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管理乡镇财务管理</w:t>
            </w:r>
            <w:r>
              <w:rPr>
                <w:rFonts w:ascii="方正书宋_GBK" w:eastAsia="方正书宋_GBK"/>
              </w:rPr>
              <w:t xml:space="preserve"> </w:t>
            </w:r>
            <w:r>
              <w:rPr>
                <w:rFonts w:hint="eastAsia" w:ascii="方正书宋_GBK" w:eastAsia="方正书宋_GBK"/>
              </w:rPr>
              <w:t>，保障乡镇各项工作正常运行。</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认真编制、执行乡镇预算和决算；</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、财政业务管理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规范处理本乡镇账务，并且指导内部相关会计和村级管理员报账制度</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做好乡镇账务工作、票据管理和会计档案管理工作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89"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九、农业资源保护和生态建设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按照可持续发展和建设生态农业的要求，保护农业资源，改善和保护农村环境。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建设生态农业，改善农村环境，实现农业可持续发展。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、农业基层推广体系改革与建设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支持镇级落实机构、编制和专业人员，配备必要设备等，提升基层农技服务机构的科技推广能力，为农户提供更多适用技术。</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健全农业基层推广体系</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农技推广综合服务能力效益增长率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十、文化艺术管理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管理和指导全镇文化建设，推进文化发展环境能力建设，提供公共文化服务、文化艺术资源建设和文化艺术生产。</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文化发展环境健康向上，文化发展能力不断增强，文化艺术资源丰富，公共文化服务和文化艺术生产水平不断提高，河北文化影响力日益扩大。</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、公共文化服务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推动全镇各级文化服务机构，建立公共文化资源共享机制，健全公共文化服务网络。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公共文化场馆免费率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文化设施、机构、队伍健全率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农家书屋更新完成率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30"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十一、城乡建设管理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指导乡镇公用设施建设、安全和应急管理；拟定村庄和小城镇建设政策并指导实施；指导镇、乡村庄规划的编制和实施；指导农村住房建设、住房安全和危房改造；改善小城镇和村庄人居环境；</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加强管理，提高乡镇承载能力和宜居度。加强村镇建设，改善农村人居环境，实现城乡统筹发展。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、推进城镇化建设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指导推进乡镇建设与改造，推进小城镇和集镇人居环境改善做好镇村规划、环境质量、居住水平、产业聚集、风貌特色、综合管理、城建投融资等指导工作，协调和指导推进城镇化工作。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制定镇、村两级规划，加强村镇及园区基础设施建设，保证农村及企业用电需求，改善农村人居环境，实现城乡统筹发展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镇级规划及基础设施建设完成情况，垃圾处理率，乡镇建设工作考核完成率。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十二、民政事务管理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承担社会救助体系，负责农村最低生活保障，五保户供养，医疗及临时生活救助。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完善城乡社会救助制度，实行分类救助，应保就保，做到动态管理。</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加强农村低保、五保户供养和医疗及临时生活救助等保障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做好农村低保，五保户及医疗救助等的申请及落实工作。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十三、水利政务管理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依法依规履行机关日常管理职责。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依法依规履行机关日常管理职责，确保水利工作正常运行。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协调推动、普查统计、督促指导、对外合作、行政审批、业务监管、水利立法、执法、处理水事纠纷，监督检查、人事管理、表彰奖励及其他依法行政管理活动。镇委、政府交办的其他事项等行政管理事项。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依法依规完成工作任务，推进科学决策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bl>
    <w:p>
      <w:pPr>
        <w:ind w:left="420" w:leftChars="200"/>
        <w:jc w:val="left"/>
        <w:outlineLvl w:val="0"/>
        <w:rPr>
          <w:rFonts w:ascii="方正楷体_GBK" w:eastAsia="方正楷体_GBK"/>
          <w:sz w:val="24"/>
        </w:rPr>
      </w:pP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p>
      <w:pPr>
        <w:autoSpaceDE w:val="0"/>
        <w:autoSpaceDN w:val="0"/>
        <w:adjustRightInd w:val="0"/>
        <w:spacing w:line="584" w:lineRule="exact"/>
        <w:ind w:firstLine="800" w:firstLineChars="250"/>
        <w:jc w:val="left"/>
        <w:rPr>
          <w:rFonts w:ascii="Times New Roman" w:hAnsi="黑体" w:eastAsia="黑体" w:cs="Times New Roman"/>
          <w:sz w:val="32"/>
          <w:szCs w:val="32"/>
        </w:rPr>
      </w:pPr>
    </w:p>
    <w:p>
      <w:pPr>
        <w:autoSpaceDE w:val="0"/>
        <w:autoSpaceDN w:val="0"/>
        <w:adjustRightInd w:val="0"/>
        <w:spacing w:line="584" w:lineRule="exact"/>
        <w:ind w:firstLine="800" w:firstLineChars="25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800" w:firstLineChars="250"/>
        <w:outlineLvl w:val="0"/>
        <w:rPr>
          <w:rFonts w:hint="eastAsia" w:ascii="仿宋_GB2312" w:hAnsi="仿宋_GB2312" w:eastAsia="仿宋_GB2312" w:cs="仿宋_GB2312"/>
        </w:rPr>
        <w:sectPr>
          <w:pgSz w:w="16839" w:h="11907" w:orient="landscape"/>
          <w:pgMar w:top="1803" w:right="1440" w:bottom="1803" w:left="1440" w:header="851" w:footer="992" w:gutter="0"/>
          <w:cols w:space="0" w:num="1"/>
          <w:rtlGutter w:val="0"/>
          <w:docGrid w:type="lines" w:linePitch="319" w:charSpace="0"/>
        </w:sectPr>
      </w:pPr>
      <w:r>
        <w:rPr>
          <w:rFonts w:hint="eastAsia" w:ascii="仿宋_GB2312" w:hAnsi="仿宋_GB2312" w:eastAsia="仿宋_GB2312" w:cs="仿宋_GB2312"/>
          <w:sz w:val="32"/>
          <w:szCs w:val="24"/>
        </w:rPr>
        <w:t>2019年，我部门无政府采购预算</w:t>
      </w:r>
      <w:r>
        <w:rPr>
          <w:rFonts w:hint="eastAsia" w:ascii="仿宋_GB2312" w:hAnsi="仿宋_GB2312" w:eastAsia="仿宋_GB2312" w:cs="仿宋_GB2312"/>
          <w:sz w:val="32"/>
          <w:szCs w:val="24"/>
          <w:lang w:eastAsia="zh-CN"/>
        </w:rPr>
        <w:t>。</w:t>
      </w:r>
    </w:p>
    <w:bookmarkEnd w:id="2"/>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仿宋_GB2312" w:hAnsi="黑体" w:eastAsia="仿宋_GB2312"/>
          <w:sz w:val="32"/>
          <w:szCs w:val="32"/>
        </w:rPr>
        <w:t>大城县大尚屯镇人民政府（含所属单位）上年末固定资产金额为203.73万元，2019年我部门无新增固定资产计划。</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299"/>
        <w:gridCol w:w="4925"/>
        <w:gridCol w:w="3155"/>
        <w:gridCol w:w="5103"/>
      </w:tblGrid>
      <w:tr>
        <w:tblPrEx>
          <w:tblLayout w:type="fixed"/>
          <w:tblCellMar>
            <w:top w:w="0" w:type="dxa"/>
            <w:left w:w="108" w:type="dxa"/>
            <w:bottom w:w="0" w:type="dxa"/>
            <w:right w:w="108" w:type="dxa"/>
          </w:tblCellMar>
        </w:tblPrEx>
        <w:trPr>
          <w:gridBefore w:val="1"/>
          <w:wBefore w:w="299" w:type="dxa"/>
          <w:trHeight w:val="705" w:hRule="atLeast"/>
        </w:trPr>
        <w:tc>
          <w:tcPr>
            <w:tcW w:w="13183"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大城县大尚屯镇人民政府</w:t>
            </w:r>
            <w:r>
              <w:rPr>
                <w:rFonts w:ascii="Times New Roman" w:hAnsi="Times New Roman" w:eastAsia="仿宋_GB2312" w:cs="Times New Roman"/>
                <w:b/>
                <w:bCs/>
                <w:kern w:val="0"/>
                <w:sz w:val="32"/>
                <w:szCs w:val="32"/>
              </w:rPr>
              <w:t>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3"/>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编制部门：大城县大尚屯镇人民政府</w:t>
            </w:r>
          </w:p>
        </w:tc>
        <w:tc>
          <w:tcPr>
            <w:tcW w:w="5103" w:type="dxa"/>
            <w:tcBorders>
              <w:top w:val="nil"/>
              <w:left w:val="nil"/>
              <w:bottom w:val="nil"/>
              <w:right w:val="nil"/>
            </w:tcBorders>
            <w:vAlign w:val="center"/>
          </w:tcPr>
          <w:p>
            <w:pPr>
              <w:widowControl/>
              <w:jc w:val="left"/>
              <w:rPr>
                <w:rFonts w:ascii="宋体" w:hAnsi="宋体" w:cs="宋体"/>
                <w:kern w:val="0"/>
                <w:sz w:val="22"/>
              </w:rPr>
            </w:pPr>
            <w:r>
              <w:rPr>
                <w:rFonts w:hint="eastAsia" w:ascii="宋体" w:hAnsi="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645" w:hRule="atLeast"/>
        </w:trPr>
        <w:tc>
          <w:tcPr>
            <w:tcW w:w="522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Layout w:type="fixed"/>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203.73</w:t>
            </w:r>
          </w:p>
        </w:tc>
      </w:tr>
      <w:tr>
        <w:tblPrEx>
          <w:tblLayout w:type="fixed"/>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1、房屋（平方米）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11286</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136.18</w:t>
            </w:r>
          </w:p>
        </w:tc>
      </w:tr>
      <w:tr>
        <w:tblPrEx>
          <w:tblLayout w:type="fixed"/>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xml:space="preserve">   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8420</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110..09</w:t>
            </w:r>
          </w:p>
        </w:tc>
      </w:tr>
      <w:tr>
        <w:tblPrEx>
          <w:tblLayout w:type="fixed"/>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2、车辆（台、辆）</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21.18</w:t>
            </w:r>
          </w:p>
        </w:tc>
      </w:tr>
      <w:tr>
        <w:tblPrEx>
          <w:tblLayout w:type="fixed"/>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3、单价在50万元以上的设备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4、其他固定资产</w:t>
            </w:r>
          </w:p>
        </w:tc>
        <w:tc>
          <w:tcPr>
            <w:tcW w:w="3155"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p>
        </w:tc>
        <w:tc>
          <w:tcPr>
            <w:tcW w:w="5103"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46.37</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hint="eastAsia" w:ascii="楷体" w:hAnsi="楷体" w:eastAsia="楷体" w:cs="楷体"/>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hint="eastAsia" w:ascii="楷体" w:hAnsi="楷体" w:eastAsia="楷体" w:cs="楷体"/>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SimSun-ExtB"/>
    <w:panose1 w:val="00000000000000000000"/>
    <w:charset w:val="86"/>
    <w:family w:val="script"/>
    <w:pitch w:val="default"/>
    <w:sig w:usb0="00000000" w:usb1="00000000" w:usb2="00000010" w:usb3="00000000" w:csb0="00040000" w:csb1="00000000"/>
  </w:font>
  <w:font w:name="方正书宋_GBK">
    <w:altName w:val="SimSun-ExtB"/>
    <w:panose1 w:val="00000000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 w:name="Arial">
    <w:panose1 w:val="020B0604020202020204"/>
    <w:charset w:val="00"/>
    <w:family w:val="auto"/>
    <w:pitch w:val="default"/>
    <w:sig w:usb0="E0002AFF" w:usb1="C0007843" w:usb2="00000009" w:usb3="00000000" w:csb0="400001FF" w:csb1="FFFF0000"/>
  </w:font>
  <w:font w:name="MingLiU_HKSCS">
    <w:panose1 w:val="02020500000000000000"/>
    <w:charset w:val="88"/>
    <w:family w:val="auto"/>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210CA"/>
    <w:rsid w:val="000268C8"/>
    <w:rsid w:val="00037AF6"/>
    <w:rsid w:val="000410F2"/>
    <w:rsid w:val="0004565F"/>
    <w:rsid w:val="00047FC0"/>
    <w:rsid w:val="00072187"/>
    <w:rsid w:val="00072D08"/>
    <w:rsid w:val="00075D5F"/>
    <w:rsid w:val="0008180F"/>
    <w:rsid w:val="00093DA3"/>
    <w:rsid w:val="0009587A"/>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85FD2"/>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3757F"/>
    <w:rsid w:val="00554F4B"/>
    <w:rsid w:val="00572067"/>
    <w:rsid w:val="00573562"/>
    <w:rsid w:val="00590ECE"/>
    <w:rsid w:val="005B3F56"/>
    <w:rsid w:val="005B4137"/>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40B9"/>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2391"/>
    <w:rsid w:val="009B511E"/>
    <w:rsid w:val="009B5215"/>
    <w:rsid w:val="009C6C86"/>
    <w:rsid w:val="009D37D3"/>
    <w:rsid w:val="00A10CC3"/>
    <w:rsid w:val="00A16E6C"/>
    <w:rsid w:val="00A36F96"/>
    <w:rsid w:val="00A40F60"/>
    <w:rsid w:val="00A44E3D"/>
    <w:rsid w:val="00A539D4"/>
    <w:rsid w:val="00A72D2E"/>
    <w:rsid w:val="00A7348E"/>
    <w:rsid w:val="00A74447"/>
    <w:rsid w:val="00A74CE5"/>
    <w:rsid w:val="00A77500"/>
    <w:rsid w:val="00A8536F"/>
    <w:rsid w:val="00A911E7"/>
    <w:rsid w:val="00A939D9"/>
    <w:rsid w:val="00AB77AA"/>
    <w:rsid w:val="00AC4748"/>
    <w:rsid w:val="00AC5ED0"/>
    <w:rsid w:val="00AD1D5F"/>
    <w:rsid w:val="00AD5259"/>
    <w:rsid w:val="00B01D36"/>
    <w:rsid w:val="00B078CD"/>
    <w:rsid w:val="00B1014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17B51"/>
    <w:rsid w:val="00C21E0F"/>
    <w:rsid w:val="00C362CA"/>
    <w:rsid w:val="00C732BF"/>
    <w:rsid w:val="00C772C1"/>
    <w:rsid w:val="00CA7176"/>
    <w:rsid w:val="00CB51D7"/>
    <w:rsid w:val="00CC75B0"/>
    <w:rsid w:val="00CC7B84"/>
    <w:rsid w:val="00CD2773"/>
    <w:rsid w:val="00CE01BA"/>
    <w:rsid w:val="00CE0CB9"/>
    <w:rsid w:val="00CE143B"/>
    <w:rsid w:val="00CE3A91"/>
    <w:rsid w:val="00D07DBA"/>
    <w:rsid w:val="00D23C16"/>
    <w:rsid w:val="00D27003"/>
    <w:rsid w:val="00D324AD"/>
    <w:rsid w:val="00D779A5"/>
    <w:rsid w:val="00D9307A"/>
    <w:rsid w:val="00DA76CB"/>
    <w:rsid w:val="00DB4322"/>
    <w:rsid w:val="00DB5B5A"/>
    <w:rsid w:val="00DD1D0C"/>
    <w:rsid w:val="00DE186D"/>
    <w:rsid w:val="00E167C7"/>
    <w:rsid w:val="00E32E4D"/>
    <w:rsid w:val="00E55B78"/>
    <w:rsid w:val="00E76361"/>
    <w:rsid w:val="00E84020"/>
    <w:rsid w:val="00E906B2"/>
    <w:rsid w:val="00EB7A80"/>
    <w:rsid w:val="00EC0035"/>
    <w:rsid w:val="00EC47F6"/>
    <w:rsid w:val="00EE6D6D"/>
    <w:rsid w:val="00EF08C9"/>
    <w:rsid w:val="00EF535E"/>
    <w:rsid w:val="00F471F7"/>
    <w:rsid w:val="00F66032"/>
    <w:rsid w:val="00F83B96"/>
    <w:rsid w:val="00F8441D"/>
    <w:rsid w:val="00F87C1E"/>
    <w:rsid w:val="00F958C2"/>
    <w:rsid w:val="00FA740E"/>
    <w:rsid w:val="00FB7061"/>
    <w:rsid w:val="00FC06C7"/>
    <w:rsid w:val="00FD5DB4"/>
    <w:rsid w:val="00FD676E"/>
    <w:rsid w:val="00FE1724"/>
    <w:rsid w:val="00FE5FBF"/>
    <w:rsid w:val="00FE753C"/>
    <w:rsid w:val="00FF2346"/>
    <w:rsid w:val="013C2757"/>
    <w:rsid w:val="05360D5D"/>
    <w:rsid w:val="1DA04150"/>
    <w:rsid w:val="21AA4A7C"/>
    <w:rsid w:val="45D17ACE"/>
    <w:rsid w:val="55F10577"/>
    <w:rsid w:val="64F128F1"/>
    <w:rsid w:val="78D517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0"/>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9">
    <w:name w:val="footnote reference"/>
    <w:unhideWhenUsed/>
    <w:qFormat/>
    <w:uiPriority w:val="0"/>
    <w:rPr>
      <w:vertAlign w:val="superscript"/>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8"/>
    <w:link w:val="6"/>
    <w:semiHidden/>
    <w:qFormat/>
    <w:uiPriority w:val="99"/>
    <w:rPr>
      <w:rFonts w:ascii="Calibri" w:hAnsi="Calibri" w:eastAsia="宋体" w:cs="Times New Roman"/>
      <w:sz w:val="18"/>
      <w:szCs w:val="18"/>
    </w:rPr>
  </w:style>
  <w:style w:type="paragraph" w:customStyle="1"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DC07D9-E561-462F-B640-859B0B0E9D8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1060</Words>
  <Characters>6046</Characters>
  <Lines>50</Lines>
  <Paragraphs>14</Paragraphs>
  <ScaleCrop>false</ScaleCrop>
  <LinksUpToDate>false</LinksUpToDate>
  <CharactersWithSpaces>7092</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2019-02-27T09:02:00Z</cp:lastPrinted>
  <dcterms:modified xsi:type="dcterms:W3CDTF">2019-02-10T02:16:22Z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