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r>
        <w:rPr>
          <w:rFonts w:hint="eastAsia"/>
          <w:b/>
          <w:sz w:val="44"/>
          <w:szCs w:val="44"/>
          <w:lang w:eastAsia="zh-CN"/>
        </w:rPr>
        <w:t>中共廊坊市大城县委宣传部</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bookmarkStart w:id="0" w:name="_GoBack"/>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lang w:eastAsia="zh-CN"/>
        </w:rPr>
        <w:t>大城县委宣传部</w:t>
      </w:r>
      <w:r>
        <w:rPr>
          <w:rFonts w:eastAsia="黑体"/>
          <w:sz w:val="32"/>
          <w:szCs w:val="32"/>
        </w:rPr>
        <w:t>概况</w:t>
      </w:r>
    </w:p>
    <w:p>
      <w:pPr>
        <w:spacing w:line="584" w:lineRule="exact"/>
        <w:ind w:firstLine="1273" w:firstLineChars="398"/>
        <w:rPr>
          <w:rFonts w:eastAsia="仿宋_GB2312"/>
          <w:sz w:val="32"/>
          <w:szCs w:val="32"/>
        </w:rPr>
      </w:pPr>
      <w:r>
        <w:rPr>
          <w:rFonts w:eastAsia="仿宋_GB2312"/>
          <w:sz w:val="32"/>
          <w:szCs w:val="32"/>
        </w:rPr>
        <w:t>一、部门职责</w:t>
      </w:r>
    </w:p>
    <w:p>
      <w:pPr>
        <w:spacing w:line="584" w:lineRule="exact"/>
        <w:ind w:firstLine="1273" w:firstLineChars="398"/>
        <w:rPr>
          <w:rFonts w:eastAsia="仿宋_GB2312"/>
          <w:sz w:val="32"/>
          <w:szCs w:val="32"/>
        </w:rPr>
      </w:pPr>
      <w:r>
        <w:rPr>
          <w:rFonts w:eastAsia="仿宋_GB2312"/>
          <w:sz w:val="32"/>
          <w:szCs w:val="32"/>
        </w:rPr>
        <w:t>二、部门决算单位构成</w:t>
      </w:r>
    </w:p>
    <w:p>
      <w:pPr>
        <w:spacing w:line="584" w:lineRule="exact"/>
        <w:ind w:firstLine="640" w:firstLineChars="200"/>
        <w:rPr>
          <w:rFonts w:eastAsia="仿宋_GB2312"/>
          <w:sz w:val="20"/>
          <w:szCs w:val="32"/>
        </w:rPr>
      </w:pPr>
      <w:r>
        <w:rPr>
          <w:rFonts w:eastAsia="黑体"/>
          <w:sz w:val="32"/>
          <w:szCs w:val="32"/>
        </w:rPr>
        <w:t xml:space="preserve">第二部分   </w:t>
      </w:r>
      <w:r>
        <w:rPr>
          <w:rFonts w:hint="eastAsia" w:eastAsia="黑体"/>
          <w:sz w:val="32"/>
          <w:szCs w:val="32"/>
          <w:lang w:eastAsia="zh-CN"/>
        </w:rPr>
        <w:t>大城县委宣传部</w:t>
      </w:r>
      <w:r>
        <w:rPr>
          <w:rFonts w:eastAsia="黑体"/>
          <w:sz w:val="32"/>
          <w:szCs w:val="32"/>
        </w:rPr>
        <w:t>2017年度部门决算报表</w:t>
      </w:r>
    </w:p>
    <w:p>
      <w:pPr>
        <w:spacing w:line="584" w:lineRule="exact"/>
        <w:ind w:left="640" w:firstLine="640" w:firstLineChars="200"/>
        <w:rPr>
          <w:rFonts w:eastAsia="仿宋_GB2312"/>
          <w:sz w:val="32"/>
          <w:szCs w:val="32"/>
        </w:rPr>
      </w:pPr>
      <w:r>
        <w:rPr>
          <w:rFonts w:eastAsia="仿宋_GB2312"/>
          <w:sz w:val="32"/>
          <w:szCs w:val="32"/>
        </w:rPr>
        <w:t>一、收入支出决算总表</w:t>
      </w:r>
    </w:p>
    <w:p>
      <w:pPr>
        <w:spacing w:line="584" w:lineRule="exact"/>
        <w:ind w:left="640" w:firstLine="640" w:firstLineChars="200"/>
        <w:rPr>
          <w:rFonts w:eastAsia="仿宋_GB2312"/>
          <w:sz w:val="32"/>
          <w:szCs w:val="32"/>
        </w:rPr>
      </w:pPr>
      <w:r>
        <w:rPr>
          <w:rFonts w:eastAsia="仿宋_GB2312"/>
          <w:sz w:val="32"/>
          <w:szCs w:val="32"/>
        </w:rPr>
        <w:t>二、收入决算表</w:t>
      </w:r>
    </w:p>
    <w:p>
      <w:pPr>
        <w:spacing w:line="584" w:lineRule="exact"/>
        <w:ind w:left="640" w:firstLine="640" w:firstLineChars="200"/>
        <w:rPr>
          <w:rFonts w:eastAsia="仿宋_GB2312"/>
          <w:sz w:val="32"/>
          <w:szCs w:val="32"/>
        </w:rPr>
      </w:pPr>
      <w:r>
        <w:rPr>
          <w:rFonts w:eastAsia="仿宋_GB2312"/>
          <w:sz w:val="32"/>
          <w:szCs w:val="32"/>
        </w:rPr>
        <w:t>三、支出决算表</w:t>
      </w:r>
    </w:p>
    <w:p>
      <w:pPr>
        <w:spacing w:line="584" w:lineRule="exact"/>
        <w:ind w:left="640" w:firstLine="640" w:firstLineChars="200"/>
        <w:rPr>
          <w:rFonts w:eastAsia="仿宋_GB2312"/>
          <w:sz w:val="32"/>
          <w:szCs w:val="32"/>
        </w:rPr>
      </w:pPr>
      <w:r>
        <w:rPr>
          <w:rFonts w:eastAsia="仿宋_GB2312"/>
          <w:sz w:val="32"/>
          <w:szCs w:val="32"/>
        </w:rPr>
        <w:t>四、财政拨款收入支出决算总表</w:t>
      </w:r>
    </w:p>
    <w:p>
      <w:pPr>
        <w:spacing w:line="584" w:lineRule="exact"/>
        <w:ind w:left="640" w:firstLine="640" w:firstLineChars="200"/>
        <w:rPr>
          <w:rFonts w:eastAsia="仿宋_GB2312"/>
          <w:sz w:val="32"/>
          <w:szCs w:val="32"/>
        </w:rPr>
      </w:pPr>
      <w:r>
        <w:rPr>
          <w:rFonts w:eastAsia="仿宋_GB2312"/>
          <w:sz w:val="32"/>
          <w:szCs w:val="32"/>
        </w:rPr>
        <w:t>五、一般公共预算财政拨款收入支出决算表</w:t>
      </w:r>
    </w:p>
    <w:p>
      <w:pPr>
        <w:spacing w:line="584" w:lineRule="exact"/>
        <w:ind w:left="640" w:firstLine="640" w:firstLineChars="200"/>
        <w:rPr>
          <w:rFonts w:eastAsia="仿宋_GB2312"/>
          <w:sz w:val="32"/>
          <w:szCs w:val="32"/>
        </w:rPr>
      </w:pPr>
      <w:r>
        <w:rPr>
          <w:rFonts w:eastAsia="仿宋_GB2312"/>
          <w:sz w:val="32"/>
          <w:szCs w:val="32"/>
        </w:rPr>
        <w:t>六、一般公共预算财政拨款基本支出决算表</w:t>
      </w:r>
    </w:p>
    <w:p>
      <w:pPr>
        <w:spacing w:line="584" w:lineRule="exact"/>
        <w:ind w:left="640" w:firstLine="640" w:firstLineChars="200"/>
        <w:rPr>
          <w:rFonts w:eastAsia="仿宋_GB2312"/>
          <w:sz w:val="32"/>
          <w:szCs w:val="32"/>
        </w:rPr>
      </w:pPr>
      <w:r>
        <w:rPr>
          <w:rFonts w:eastAsia="仿宋_GB2312"/>
          <w:sz w:val="32"/>
          <w:szCs w:val="32"/>
        </w:rPr>
        <w:t>七、政府性基金预算财政拨款收入支出决算表</w:t>
      </w:r>
    </w:p>
    <w:p>
      <w:pPr>
        <w:spacing w:line="584" w:lineRule="exact"/>
        <w:ind w:left="640" w:firstLine="640" w:firstLineChars="200"/>
        <w:rPr>
          <w:rFonts w:eastAsia="仿宋_GB2312"/>
          <w:sz w:val="32"/>
          <w:szCs w:val="32"/>
        </w:rPr>
      </w:pPr>
      <w:r>
        <w:rPr>
          <w:rFonts w:eastAsia="仿宋_GB2312"/>
          <w:sz w:val="32"/>
          <w:szCs w:val="32"/>
        </w:rPr>
        <w:t>八、国有资本经营预算财政拨款收入支出决算表</w:t>
      </w:r>
    </w:p>
    <w:p>
      <w:pPr>
        <w:spacing w:line="584" w:lineRule="exact"/>
        <w:ind w:left="640" w:firstLine="640" w:firstLineChars="200"/>
        <w:rPr>
          <w:rFonts w:eastAsia="仿宋_GB2312"/>
          <w:sz w:val="32"/>
          <w:szCs w:val="32"/>
        </w:rPr>
      </w:pPr>
      <w:r>
        <w:rPr>
          <w:rFonts w:eastAsia="仿宋_GB2312"/>
          <w:sz w:val="32"/>
          <w:szCs w:val="32"/>
        </w:rPr>
        <w:t>九、“三公”经费及相关信息统计表</w:t>
      </w:r>
    </w:p>
    <w:p>
      <w:pPr>
        <w:spacing w:line="584" w:lineRule="exact"/>
        <w:ind w:left="640" w:firstLine="640" w:firstLineChars="200"/>
        <w:rPr>
          <w:rFonts w:eastAsia="仿宋_GB2312"/>
          <w:sz w:val="32"/>
          <w:szCs w:val="32"/>
        </w:rPr>
      </w:pPr>
      <w:r>
        <w:rPr>
          <w:rFonts w:eastAsia="仿宋_GB2312"/>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大城县委宣传部</w:t>
      </w:r>
      <w:r>
        <w:rPr>
          <w:rFonts w:eastAsia="黑体"/>
          <w:sz w:val="32"/>
          <w:szCs w:val="32"/>
        </w:rPr>
        <w:t>2017年部门决算情况说明</w:t>
      </w:r>
    </w:p>
    <w:p>
      <w:pPr>
        <w:spacing w:line="584" w:lineRule="exact"/>
        <w:ind w:left="640" w:firstLine="640" w:firstLineChars="200"/>
        <w:rPr>
          <w:rFonts w:eastAsia="仿宋_GB2312"/>
          <w:sz w:val="32"/>
          <w:szCs w:val="32"/>
        </w:rPr>
      </w:pPr>
      <w:r>
        <w:rPr>
          <w:rFonts w:eastAsia="仿宋_GB2312"/>
          <w:sz w:val="32"/>
          <w:szCs w:val="32"/>
        </w:rPr>
        <w:t>一、收入支出决算总体情况说明</w:t>
      </w:r>
    </w:p>
    <w:p>
      <w:pPr>
        <w:spacing w:line="584" w:lineRule="exact"/>
        <w:ind w:left="640" w:firstLine="640" w:firstLineChars="200"/>
        <w:rPr>
          <w:rFonts w:eastAsia="仿宋_GB2312"/>
          <w:sz w:val="32"/>
          <w:szCs w:val="32"/>
        </w:rPr>
      </w:pPr>
      <w:r>
        <w:rPr>
          <w:rFonts w:eastAsia="仿宋_GB2312"/>
          <w:sz w:val="32"/>
          <w:szCs w:val="32"/>
        </w:rPr>
        <w:t>二、收入决算情况说明</w:t>
      </w:r>
    </w:p>
    <w:p>
      <w:pPr>
        <w:spacing w:line="584" w:lineRule="exact"/>
        <w:ind w:left="640" w:firstLine="640" w:firstLineChars="200"/>
        <w:rPr>
          <w:rFonts w:eastAsia="仿宋_GB2312"/>
          <w:sz w:val="32"/>
          <w:szCs w:val="32"/>
        </w:rPr>
      </w:pPr>
      <w:r>
        <w:rPr>
          <w:rFonts w:eastAsia="仿宋_GB2312"/>
          <w:sz w:val="32"/>
          <w:szCs w:val="32"/>
        </w:rPr>
        <w:t>三、支出决算情况说明</w:t>
      </w:r>
    </w:p>
    <w:p>
      <w:pPr>
        <w:spacing w:line="584" w:lineRule="exact"/>
        <w:ind w:left="640" w:firstLine="640" w:firstLineChars="200"/>
        <w:rPr>
          <w:rFonts w:eastAsia="仿宋_GB2312"/>
          <w:sz w:val="32"/>
          <w:szCs w:val="32"/>
        </w:rPr>
      </w:pPr>
      <w:r>
        <w:rPr>
          <w:rFonts w:eastAsia="仿宋_GB2312"/>
          <w:sz w:val="32"/>
          <w:szCs w:val="32"/>
        </w:rPr>
        <w:t>四、财政拨款收入支出决算总体情况说明</w:t>
      </w:r>
    </w:p>
    <w:p>
      <w:pPr>
        <w:spacing w:line="584" w:lineRule="exact"/>
        <w:ind w:left="640" w:firstLine="640" w:firstLineChars="200"/>
        <w:rPr>
          <w:rFonts w:eastAsia="仿宋_GB2312"/>
          <w:spacing w:val="-6"/>
          <w:sz w:val="32"/>
          <w:szCs w:val="32"/>
        </w:rPr>
      </w:pPr>
      <w:r>
        <w:rPr>
          <w:rFonts w:eastAsia="仿宋_GB2312"/>
          <w:sz w:val="32"/>
          <w:szCs w:val="32"/>
        </w:rPr>
        <w:t>五、</w:t>
      </w:r>
      <w:r>
        <w:rPr>
          <w:rFonts w:eastAsia="仿宋_GB2312"/>
          <w:spacing w:val="-6"/>
          <w:sz w:val="32"/>
          <w:szCs w:val="32"/>
        </w:rPr>
        <w:t>一般公共预算财政拨款“三公”经费支出决算情况说明</w:t>
      </w:r>
    </w:p>
    <w:p>
      <w:pPr>
        <w:spacing w:line="584" w:lineRule="exact"/>
        <w:ind w:left="640" w:firstLine="640" w:firstLineChars="200"/>
        <w:rPr>
          <w:rFonts w:eastAsia="仿宋_GB2312"/>
          <w:sz w:val="32"/>
          <w:szCs w:val="32"/>
        </w:rPr>
      </w:pPr>
      <w:r>
        <w:rPr>
          <w:rFonts w:eastAsia="仿宋_GB2312"/>
          <w:sz w:val="32"/>
          <w:szCs w:val="32"/>
        </w:rPr>
        <w:t>六、预算绩效管理工作开展情况说明</w:t>
      </w:r>
    </w:p>
    <w:p>
      <w:pPr>
        <w:spacing w:line="584" w:lineRule="exact"/>
        <w:ind w:left="640" w:firstLine="640" w:firstLineChars="200"/>
        <w:rPr>
          <w:rFonts w:eastAsia="仿宋_GB2312"/>
          <w:sz w:val="32"/>
          <w:szCs w:val="32"/>
        </w:rPr>
      </w:pPr>
      <w:r>
        <w:rPr>
          <w:rFonts w:eastAsia="仿宋_GB2312"/>
          <w:sz w:val="32"/>
          <w:szCs w:val="32"/>
        </w:rPr>
        <w:t>七、其他重要事项的说明</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机关运行经费情况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w:t>
      </w:r>
      <w:r>
        <w:rPr>
          <w:rFonts w:eastAsia="仿宋_GB2312"/>
          <w:sz w:val="32"/>
          <w:szCs w:val="32"/>
        </w:rPr>
        <w:t xml:space="preserve"> 政府采购情况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 xml:space="preserve"> 国有资产占用情况</w:t>
      </w:r>
    </w:p>
    <w:p>
      <w:pPr>
        <w:spacing w:line="584" w:lineRule="exact"/>
        <w:ind w:firstLine="1920" w:firstLineChars="6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bookmarkEnd w:id="0"/>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jc w:val="center"/>
        <w:rPr>
          <w:color w:val="000000"/>
          <w:kern w:val="0"/>
        </w:rPr>
      </w:pPr>
    </w:p>
    <w:p>
      <w:pPr>
        <w:rPr>
          <w:color w:val="000000"/>
          <w:kern w:val="0"/>
        </w:rPr>
      </w:pPr>
    </w:p>
    <w:p>
      <w:pPr>
        <w:rPr>
          <w:color w:val="000000"/>
          <w:kern w:val="0"/>
        </w:rPr>
      </w:pPr>
    </w:p>
    <w:p>
      <w:pPr>
        <w:rPr>
          <w:color w:val="000000"/>
          <w:kern w:val="0"/>
        </w:rPr>
      </w:pPr>
    </w:p>
    <w:p>
      <w:pPr>
        <w:widowControl/>
        <w:spacing w:line="420" w:lineRule="atLeast"/>
        <w:jc w:val="center"/>
        <w:rPr>
          <w:rFonts w:hint="eastAsia" w:ascii="方正小标宋简体" w:hAnsi="Calibri" w:eastAsia="方正小标宋简体" w:cs="宋体"/>
          <w:color w:val="484747"/>
          <w:sz w:val="44"/>
          <w:szCs w:val="44"/>
        </w:rPr>
      </w:pPr>
    </w:p>
    <w:p>
      <w:pPr>
        <w:widowControl/>
        <w:spacing w:line="420" w:lineRule="atLeast"/>
        <w:jc w:val="center"/>
        <w:rPr>
          <w:rFonts w:ascii="宋体" w:hAnsi="宋体" w:cs="宋体"/>
          <w:color w:val="484747"/>
          <w:kern w:val="0"/>
          <w:sz w:val="24"/>
        </w:rPr>
      </w:pPr>
      <w:r>
        <w:rPr>
          <w:rFonts w:hint="eastAsia" w:ascii="方正小标宋简体" w:hAnsi="Calibri" w:eastAsia="方正小标宋简体" w:cs="宋体"/>
          <w:color w:val="484747"/>
          <w:sz w:val="44"/>
          <w:szCs w:val="44"/>
        </w:rPr>
        <w:t>文字部分</w:t>
      </w:r>
    </w:p>
    <w:p>
      <w:pPr>
        <w:widowControl/>
        <w:spacing w:line="584" w:lineRule="exact"/>
        <w:ind w:firstLine="640" w:firstLineChars="200"/>
        <w:jc w:val="left"/>
        <w:rPr>
          <w:rFonts w:ascii="宋体" w:hAnsi="宋体" w:cs="宋体"/>
          <w:color w:val="484747"/>
          <w:kern w:val="0"/>
          <w:sz w:val="24"/>
        </w:rPr>
      </w:pPr>
      <w:r>
        <w:rPr>
          <w:rFonts w:hint="eastAsia" w:eastAsia="仿宋_GB2312"/>
          <w:kern w:val="0"/>
          <w:sz w:val="32"/>
          <w:szCs w:val="32"/>
        </w:rPr>
        <w:t>按照《预算法》、《河北省财政厅关于印发&lt;河北省预决算公开操作规程实施细则&gt;的通知》（冀财预﹝2016﹞129号）等规定，现将2017年部门决算公开如下：</w:t>
      </w:r>
    </w:p>
    <w:p>
      <w:pPr>
        <w:pStyle w:val="2"/>
        <w:spacing w:before="0" w:after="0" w:line="584" w:lineRule="exact"/>
        <w:jc w:val="center"/>
        <w:rPr>
          <w:color w:val="000000"/>
          <w:kern w:val="0"/>
        </w:rPr>
      </w:pPr>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一、部门职责</w:t>
      </w:r>
    </w:p>
    <w:p>
      <w:pPr>
        <w:widowControl/>
        <w:autoSpaceDE w:val="0"/>
        <w:spacing w:line="58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宣传部是县委在意识形态方面的综合职能部门。主要任务是：负责指导全县理论研究、理论学习、理论宣传工作。负责县委理论学习中心组学习的有关工作；负责引导社会舆论，对县电视台的工作实施政治方向和方针、政策指导；负责从宏观上指导全县精神产品生产和文化市场管理；负责规划、部署全县思想政治工作任务，组织对全县性先进典型的学习推广，负责基层党员教育工作，负责全县爱国主义教育基地的建设、管理、使用；负责网络舆情的监测与信息管理；根据大办发【2004】44号文件要求，会同县委组织部管理县直宣传文化系统副科级以上干部，并负责股级干部管理工作；制定全县宣传文化系统股级以上干部和业务骨干的培训规划并组织实施；负责全县政工职称评定、管理工作；负责指导、组织、协调全县对外宣传工作和对外文化交流联络工作；研究提出有关全县精神文明建设的政策和意见，规划、部署全县精神文明建设工作，组织指导全县群众性精神文明创建活动；按照县委的规定，管理县国防教育领导小组办公室的工作；团结和动员全县广大文学艺术工作者，深入生活，创作有中国特色社会主义文化精品，“以优秀的作品鼓舞人”，促进先进文化的发展；及时把县委、县政府工作思路、工作特点、重大典型宣传到广大干部群众当中，及时反馈社会关注的热点、难点、焦点问题，为领导谋思路、作决策提供参考。同时，统一思想，凝聚人心，鼓励发展，团结一致，把人们思想统一到县委、县政府中心工作上来，为完成全县工作目标营造社会文化氛围，用社会主义思想占领农村文化阵地；完成县委和市委宣传部交办的其它任务。</w:t>
      </w:r>
    </w:p>
    <w:p>
      <w:pPr>
        <w:pStyle w:val="3"/>
        <w:spacing w:before="0" w:after="0" w:line="584" w:lineRule="exact"/>
        <w:ind w:firstLine="643" w:firstLineChars="200"/>
        <w:rPr>
          <w:rFonts w:ascii="Times New Roman" w:hAnsi="Times New Roman" w:eastAsia="黑体"/>
          <w:kern w:val="0"/>
        </w:rPr>
      </w:pPr>
      <w:r>
        <w:rPr>
          <w:rFonts w:ascii="Times New Roman" w:hAnsi="Times New Roman" w:eastAsia="黑体"/>
          <w:kern w:val="0"/>
        </w:rPr>
        <w:t>二、部门决算单位构成</w:t>
      </w:r>
    </w:p>
    <w:p>
      <w:pPr>
        <w:widowControl/>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lang w:val="en-US" w:eastAsia="zh-CN"/>
        </w:rPr>
        <w:t>2017年度，纳入本部门决算汇编范围的独立核算单位共1个，是中共廊坊市大城县委宣传部，</w:t>
      </w:r>
      <w:r>
        <w:rPr>
          <w:rFonts w:hint="eastAsia" w:ascii="Calibri" w:hAnsi="Calibri" w:eastAsia="仿宋_GB2312" w:cs="Times New Roman"/>
          <w:sz w:val="32"/>
          <w:szCs w:val="32"/>
          <w:lang w:eastAsia="zh-CN"/>
        </w:rPr>
        <w:t>其中</w:t>
      </w:r>
      <w:r>
        <w:rPr>
          <w:rFonts w:hint="eastAsia" w:ascii="Calibri" w:hAnsi="Calibri" w:eastAsia="仿宋_GB2312" w:cs="Times New Roman"/>
          <w:sz w:val="32"/>
          <w:szCs w:val="32"/>
        </w:rPr>
        <w:t>设置</w:t>
      </w:r>
      <w:r>
        <w:rPr>
          <w:rFonts w:hint="eastAsia" w:ascii="Calibri" w:hAnsi="Calibri" w:eastAsia="仿宋_GB2312" w:cs="Times New Roman"/>
          <w:sz w:val="32"/>
          <w:szCs w:val="32"/>
          <w:lang w:val="en-US" w:eastAsia="zh-CN"/>
        </w:rPr>
        <w:t>4个行政股室</w:t>
      </w:r>
      <w:r>
        <w:rPr>
          <w:rFonts w:hint="eastAsia" w:ascii="Calibri" w:hAnsi="Calibri" w:eastAsia="仿宋_GB2312" w:cs="Times New Roman"/>
          <w:sz w:val="32"/>
          <w:szCs w:val="32"/>
        </w:rPr>
        <w:t>。</w:t>
      </w:r>
    </w:p>
    <w:p>
      <w:pPr>
        <w:widowControl/>
        <w:numPr>
          <w:ilvl w:val="0"/>
          <w:numId w:val="1"/>
        </w:numPr>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lang w:eastAsia="zh-CN"/>
        </w:rPr>
        <w:t>秘书组</w:t>
      </w:r>
    </w:p>
    <w:p>
      <w:pPr>
        <w:widowControl/>
        <w:numPr>
          <w:ilvl w:val="0"/>
          <w:numId w:val="1"/>
        </w:numPr>
        <w:spacing w:line="584" w:lineRule="exact"/>
        <w:ind w:firstLine="640" w:firstLineChars="200"/>
        <w:jc w:val="left"/>
        <w:rPr>
          <w:rFonts w:ascii="Calibri" w:hAnsi="Calibri" w:eastAsia="仿宋_GB2312" w:cs="Times New Roman"/>
          <w:sz w:val="32"/>
          <w:szCs w:val="32"/>
        </w:rPr>
      </w:pPr>
      <w:r>
        <w:rPr>
          <w:rFonts w:hint="eastAsia" w:ascii="Calibri" w:hAnsi="Calibri" w:eastAsia="仿宋_GB2312" w:cs="Times New Roman"/>
          <w:sz w:val="32"/>
          <w:szCs w:val="32"/>
          <w:lang w:eastAsia="zh-CN"/>
        </w:rPr>
        <w:t>新闻外宣组</w:t>
      </w:r>
    </w:p>
    <w:p>
      <w:pPr>
        <w:spacing w:line="584" w:lineRule="exact"/>
        <w:ind w:firstLine="640"/>
        <w:jc w:val="both"/>
        <w:rPr>
          <w:rFonts w:hint="eastAsia" w:ascii="Calibri" w:hAnsi="Calibri" w:eastAsia="仿宋_GB2312" w:cs="Times New Roman"/>
          <w:sz w:val="32"/>
          <w:szCs w:val="32"/>
          <w:lang w:eastAsia="zh-CN"/>
        </w:rPr>
      </w:pPr>
      <w:r>
        <w:rPr>
          <w:rFonts w:hint="eastAsia" w:ascii="Calibri" w:hAnsi="Calibri" w:eastAsia="仿宋_GB2312" w:cs="Times New Roman"/>
          <w:sz w:val="32"/>
          <w:szCs w:val="32"/>
          <w:lang w:val="en-US" w:eastAsia="zh-CN"/>
        </w:rPr>
        <w:t>3、</w:t>
      </w:r>
      <w:r>
        <w:rPr>
          <w:rFonts w:hint="eastAsia" w:ascii="Calibri" w:hAnsi="Calibri" w:eastAsia="仿宋_GB2312" w:cs="Times New Roman"/>
          <w:sz w:val="32"/>
          <w:szCs w:val="32"/>
          <w:lang w:eastAsia="zh-CN"/>
        </w:rPr>
        <w:t>理论宣传教育</w:t>
      </w:r>
    </w:p>
    <w:p>
      <w:pPr>
        <w:spacing w:line="584" w:lineRule="exact"/>
        <w:ind w:firstLine="640"/>
        <w:jc w:val="both"/>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4、文明办</w:t>
      </w:r>
    </w:p>
    <w:p>
      <w:pPr>
        <w:spacing w:line="584" w:lineRule="exact"/>
        <w:jc w:val="both"/>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 xml:space="preserve">   设置3个事业科室。</w:t>
      </w:r>
    </w:p>
    <w:p>
      <w:pPr>
        <w:numPr>
          <w:ilvl w:val="0"/>
          <w:numId w:val="2"/>
        </w:numPr>
        <w:spacing w:line="584" w:lineRule="exact"/>
        <w:ind w:firstLine="640"/>
        <w:jc w:val="both"/>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网信办（正科级）</w:t>
      </w:r>
    </w:p>
    <w:p>
      <w:pPr>
        <w:numPr>
          <w:ilvl w:val="0"/>
          <w:numId w:val="2"/>
        </w:numPr>
        <w:spacing w:line="584" w:lineRule="exact"/>
        <w:ind w:firstLine="640"/>
        <w:jc w:val="both"/>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《新大城》报社（副科级）</w:t>
      </w:r>
    </w:p>
    <w:p>
      <w:pPr>
        <w:numPr>
          <w:ilvl w:val="0"/>
          <w:numId w:val="2"/>
        </w:numPr>
        <w:spacing w:line="584" w:lineRule="exact"/>
        <w:ind w:firstLine="640"/>
        <w:jc w:val="both"/>
        <w:rPr>
          <w:rFonts w:hint="eastAsia" w:ascii="Calibri" w:hAnsi="Calibri" w:eastAsia="仿宋_GB2312" w:cs="Times New Roman"/>
          <w:sz w:val="32"/>
          <w:szCs w:val="32"/>
          <w:lang w:val="en-US" w:eastAsia="zh-CN"/>
        </w:rPr>
      </w:pPr>
      <w:r>
        <w:rPr>
          <w:rFonts w:hint="eastAsia" w:ascii="Calibri" w:hAnsi="Calibri" w:eastAsia="仿宋_GB2312" w:cs="Times New Roman"/>
          <w:sz w:val="32"/>
          <w:szCs w:val="32"/>
          <w:lang w:val="en-US" w:eastAsia="zh-CN"/>
        </w:rPr>
        <w:t>文联</w:t>
      </w:r>
    </w:p>
    <w:p>
      <w:pPr>
        <w:spacing w:line="584" w:lineRule="exact"/>
        <w:ind w:firstLine="640"/>
        <w:jc w:val="both"/>
        <w:rPr>
          <w:rFonts w:hint="eastAsia" w:ascii="Calibri" w:hAnsi="Calibri" w:eastAsia="仿宋_GB2312" w:cs="Times New Roman"/>
          <w:sz w:val="32"/>
          <w:szCs w:val="32"/>
          <w:lang w:val="en-US" w:eastAsia="zh-CN"/>
        </w:rPr>
      </w:pPr>
    </w:p>
    <w:p>
      <w:pPr>
        <w:pStyle w:val="2"/>
        <w:numPr>
          <w:ilvl w:val="0"/>
          <w:numId w:val="3"/>
        </w:numPr>
        <w:spacing w:before="0" w:after="0" w:line="584" w:lineRule="exact"/>
        <w:jc w:val="center"/>
        <w:rPr>
          <w:color w:val="000000"/>
          <w:kern w:val="0"/>
        </w:rPr>
      </w:pPr>
      <w:r>
        <w:rPr>
          <w:color w:val="000000"/>
          <w:kern w:val="0"/>
        </w:rPr>
        <w:t>2017年度部门决算报表</w:t>
      </w:r>
    </w:p>
    <w:p>
      <w:pPr>
        <w:numPr>
          <w:ilvl w:val="0"/>
          <w:numId w:val="0"/>
        </w:numPr>
      </w:pPr>
    </w:p>
    <w:p>
      <w:pPr>
        <w:numPr>
          <w:ilvl w:val="0"/>
          <w:numId w:val="0"/>
        </w:numPr>
      </w:pPr>
    </w:p>
    <w:p>
      <w:pPr>
        <w:numPr>
          <w:ilvl w:val="0"/>
          <w:numId w:val="0"/>
        </w:numPr>
      </w:pPr>
    </w:p>
    <w:p>
      <w:pPr>
        <w:pStyle w:val="2"/>
        <w:spacing w:before="0" w:after="0" w:line="584" w:lineRule="exact"/>
        <w:jc w:val="both"/>
        <w:rPr>
          <w:rFonts w:hint="eastAsia" w:eastAsia="宋体"/>
          <w:color w:val="000000"/>
          <w:kern w:val="0"/>
          <w:lang w:eastAsia="zh-CN"/>
        </w:rPr>
      </w:pPr>
    </w:p>
    <w:p>
      <w:pPr>
        <w:rPr>
          <w:color w:val="000000"/>
          <w:kern w:val="0"/>
        </w:rPr>
      </w:pPr>
    </w:p>
    <w:p>
      <w:pPr>
        <w:rPr>
          <w:color w:val="000000"/>
          <w:kern w:val="0"/>
        </w:rPr>
      </w:pPr>
    </w:p>
    <w:p>
      <w:pPr>
        <w:pStyle w:val="2"/>
        <w:spacing w:before="0" w:after="0" w:line="584" w:lineRule="exact"/>
        <w:jc w:val="center"/>
        <w:rPr>
          <w:color w:val="000000"/>
          <w:kern w:val="0"/>
        </w:rPr>
      </w:pPr>
      <w:r>
        <w:rPr>
          <w:color w:val="000000"/>
          <w:kern w:val="0"/>
        </w:rPr>
        <w:t>第三部分部门决算情况说明</w:t>
      </w:r>
    </w:p>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一、收入</w:t>
      </w:r>
      <w:r>
        <w:rPr>
          <w:rFonts w:ascii="Times New Roman" w:hAnsi="Times New Roman" w:eastAsia="黑体"/>
          <w:kern w:val="0"/>
        </w:rPr>
        <w:t>支出</w:t>
      </w:r>
      <w:r>
        <w:rPr>
          <w:rFonts w:ascii="Times New Roman" w:hAnsi="Times New Roman" w:eastAsia="黑体"/>
        </w:rPr>
        <w:t>决算总体情况说明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本部门2017年度年初结转和结余</w:t>
      </w:r>
      <w:r>
        <w:rPr>
          <w:rFonts w:hint="eastAsia" w:eastAsia="仿宋_GB2312"/>
          <w:sz w:val="32"/>
          <w:szCs w:val="32"/>
          <w:lang w:val="en-US" w:eastAsia="zh-CN"/>
        </w:rPr>
        <w:t>207</w:t>
      </w:r>
      <w:r>
        <w:rPr>
          <w:rFonts w:eastAsia="仿宋_GB2312"/>
          <w:sz w:val="32"/>
          <w:szCs w:val="32"/>
        </w:rPr>
        <w:t>万元，本年收入</w:t>
      </w:r>
      <w:r>
        <w:rPr>
          <w:rFonts w:hint="eastAsia" w:eastAsia="仿宋_GB2312"/>
          <w:sz w:val="32"/>
          <w:szCs w:val="32"/>
          <w:lang w:val="en-US" w:eastAsia="zh-CN"/>
        </w:rPr>
        <w:t>756.7</w:t>
      </w:r>
      <w:r>
        <w:rPr>
          <w:rFonts w:eastAsia="仿宋_GB2312"/>
          <w:sz w:val="32"/>
          <w:szCs w:val="32"/>
        </w:rPr>
        <w:t>万元</w:t>
      </w:r>
      <w:r>
        <w:rPr>
          <w:rFonts w:hint="eastAsia" w:eastAsia="仿宋_GB2312"/>
          <w:sz w:val="32"/>
          <w:szCs w:val="32"/>
          <w:lang w:val="en-US" w:eastAsia="zh-CN"/>
        </w:rPr>
        <w:t>,其他收入115.2万元</w:t>
      </w:r>
      <w:r>
        <w:rPr>
          <w:rFonts w:eastAsia="仿宋_GB2312"/>
          <w:sz w:val="32"/>
          <w:szCs w:val="32"/>
        </w:rPr>
        <w:t>；本年支出</w:t>
      </w:r>
      <w:r>
        <w:rPr>
          <w:rFonts w:hint="eastAsia" w:eastAsia="仿宋_GB2312"/>
          <w:sz w:val="32"/>
          <w:szCs w:val="32"/>
          <w:lang w:val="en-US" w:eastAsia="zh-CN"/>
        </w:rPr>
        <w:t>848.5</w:t>
      </w:r>
      <w:r>
        <w:rPr>
          <w:rFonts w:eastAsia="仿宋_GB2312"/>
          <w:sz w:val="32"/>
          <w:szCs w:val="32"/>
        </w:rPr>
        <w:t>万元、年末结转和结余</w:t>
      </w:r>
      <w:r>
        <w:rPr>
          <w:rFonts w:hint="eastAsia" w:eastAsia="仿宋_GB2312"/>
          <w:sz w:val="32"/>
          <w:szCs w:val="32"/>
          <w:lang w:val="en-US" w:eastAsia="zh-CN"/>
        </w:rPr>
        <w:t>85.2</w:t>
      </w:r>
      <w:r>
        <w:rPr>
          <w:rFonts w:eastAsia="仿宋_GB2312"/>
          <w:sz w:val="32"/>
          <w:szCs w:val="32"/>
        </w:rPr>
        <w:t>万元。与2016年度决算相比，本年收入</w:t>
      </w:r>
      <w:r>
        <w:rPr>
          <w:rFonts w:hint="eastAsia" w:eastAsia="仿宋_GB2312"/>
          <w:sz w:val="32"/>
          <w:szCs w:val="32"/>
          <w:lang w:eastAsia="zh-CN"/>
        </w:rPr>
        <w:t>减少</w:t>
      </w:r>
      <w:r>
        <w:rPr>
          <w:rFonts w:hint="eastAsia" w:eastAsia="仿宋_GB2312"/>
          <w:sz w:val="32"/>
          <w:szCs w:val="32"/>
          <w:lang w:val="en-US" w:eastAsia="zh-CN"/>
        </w:rPr>
        <w:t>36.7</w:t>
      </w:r>
      <w:r>
        <w:rPr>
          <w:rFonts w:eastAsia="仿宋_GB2312"/>
          <w:sz w:val="32"/>
          <w:szCs w:val="32"/>
        </w:rPr>
        <w:t>万元，</w:t>
      </w:r>
      <w:r>
        <w:rPr>
          <w:rFonts w:hint="eastAsia" w:eastAsia="仿宋_GB2312"/>
          <w:sz w:val="32"/>
          <w:szCs w:val="32"/>
          <w:lang w:eastAsia="zh-CN"/>
        </w:rPr>
        <w:t>减少</w:t>
      </w:r>
      <w:r>
        <w:rPr>
          <w:rFonts w:hint="eastAsia" w:eastAsia="仿宋_GB2312"/>
          <w:sz w:val="32"/>
          <w:szCs w:val="32"/>
          <w:lang w:val="en-US" w:eastAsia="zh-CN"/>
        </w:rPr>
        <w:t>4.63</w:t>
      </w:r>
      <w:r>
        <w:rPr>
          <w:rFonts w:eastAsia="仿宋_GB2312"/>
          <w:sz w:val="32"/>
          <w:szCs w:val="32"/>
        </w:rPr>
        <w:t>%，主要</w:t>
      </w:r>
      <w:r>
        <w:rPr>
          <w:rFonts w:hint="eastAsia" w:eastAsia="仿宋_GB2312"/>
          <w:sz w:val="32"/>
          <w:szCs w:val="32"/>
          <w:lang w:eastAsia="zh-CN"/>
        </w:rPr>
        <w:t>原因</w:t>
      </w:r>
      <w:r>
        <w:rPr>
          <w:rFonts w:hint="eastAsia" w:ascii="Calibri" w:hAnsi="Calibri" w:eastAsia="仿宋_GB2312" w:cs="Times New Roman"/>
          <w:sz w:val="32"/>
          <w:szCs w:val="32"/>
        </w:rPr>
        <w:t>坚持厉行节约，反对浪费</w:t>
      </w:r>
      <w:r>
        <w:rPr>
          <w:rFonts w:eastAsia="仿宋_GB2312"/>
          <w:sz w:val="32"/>
          <w:szCs w:val="32"/>
        </w:rPr>
        <w:t>；本年支出增加</w:t>
      </w:r>
      <w:r>
        <w:rPr>
          <w:rFonts w:hint="eastAsia" w:eastAsia="仿宋_GB2312"/>
          <w:sz w:val="32"/>
          <w:szCs w:val="32"/>
          <w:lang w:val="en-US" w:eastAsia="zh-CN"/>
        </w:rPr>
        <w:t>287.9</w:t>
      </w:r>
      <w:r>
        <w:rPr>
          <w:rFonts w:eastAsia="仿宋_GB2312"/>
          <w:sz w:val="32"/>
          <w:szCs w:val="32"/>
        </w:rPr>
        <w:t>万元，增长</w:t>
      </w:r>
      <w:r>
        <w:rPr>
          <w:rFonts w:hint="eastAsia" w:eastAsia="仿宋_GB2312"/>
          <w:sz w:val="32"/>
          <w:szCs w:val="32"/>
          <w:lang w:val="en-US" w:eastAsia="zh-CN"/>
        </w:rPr>
        <w:t>48.75</w:t>
      </w:r>
      <w:r>
        <w:rPr>
          <w:rFonts w:eastAsia="仿宋_GB2312"/>
          <w:sz w:val="32"/>
          <w:szCs w:val="32"/>
        </w:rPr>
        <w:t>%</w:t>
      </w:r>
      <w:r>
        <w:rPr>
          <w:rFonts w:hint="eastAsia" w:eastAsia="仿宋_GB2312"/>
          <w:sz w:val="32"/>
          <w:szCs w:val="32"/>
          <w:lang w:eastAsia="zh-CN"/>
        </w:rPr>
        <w:t>，</w:t>
      </w:r>
      <w:r>
        <w:rPr>
          <w:rFonts w:eastAsia="仿宋_GB2312"/>
          <w:sz w:val="32"/>
          <w:szCs w:val="32"/>
        </w:rPr>
        <w:t>主要原因是</w:t>
      </w:r>
      <w:r>
        <w:rPr>
          <w:rFonts w:hint="eastAsia" w:ascii="Calibri" w:hAnsi="Calibri" w:eastAsia="仿宋_GB2312" w:cs="Times New Roman"/>
          <w:sz w:val="32"/>
          <w:szCs w:val="32"/>
          <w:lang w:eastAsia="zh-CN"/>
        </w:rPr>
        <w:t>项目支出有所增加</w:t>
      </w:r>
      <w:r>
        <w:rPr>
          <w:rFonts w:eastAsia="仿宋_GB2312"/>
          <w:sz w:val="32"/>
          <w:szCs w:val="32"/>
        </w:rPr>
        <w:t>。</w:t>
      </w:r>
    </w:p>
    <w:p>
      <w:pPr>
        <w:pStyle w:val="3"/>
        <w:adjustRightInd w:val="0"/>
        <w:spacing w:before="0" w:after="0" w:line="584" w:lineRule="exact"/>
        <w:ind w:firstLine="643" w:firstLineChars="200"/>
        <w:rPr>
          <w:rFonts w:ascii="Times New Roman" w:hAnsi="Times New Roman" w:eastAsia="黑体"/>
        </w:rPr>
      </w:pPr>
      <w:r>
        <w:rPr>
          <w:rFonts w:ascii="Times New Roman" w:hAnsi="Times New Roman" w:eastAsia="黑体"/>
        </w:rPr>
        <w:t>二、收入决算情况说明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本部门2017年度本年收入合计</w:t>
      </w:r>
      <w:r>
        <w:rPr>
          <w:rFonts w:hint="eastAsia" w:eastAsia="仿宋_GB2312"/>
          <w:sz w:val="32"/>
          <w:szCs w:val="32"/>
          <w:lang w:val="en-US" w:eastAsia="zh-CN"/>
        </w:rPr>
        <w:t>756.7</w:t>
      </w:r>
      <w:r>
        <w:rPr>
          <w:rFonts w:eastAsia="仿宋_GB2312"/>
          <w:sz w:val="32"/>
          <w:szCs w:val="32"/>
        </w:rPr>
        <w:t>万元，其中：财政拨款收入</w:t>
      </w:r>
      <w:r>
        <w:rPr>
          <w:rFonts w:hint="eastAsia" w:eastAsia="仿宋_GB2312"/>
          <w:sz w:val="32"/>
          <w:szCs w:val="32"/>
          <w:lang w:val="en-US" w:eastAsia="zh-CN"/>
        </w:rPr>
        <w:t>641.5</w:t>
      </w:r>
      <w:r>
        <w:rPr>
          <w:rFonts w:eastAsia="仿宋_GB2312"/>
          <w:sz w:val="32"/>
          <w:szCs w:val="32"/>
        </w:rPr>
        <w:t>万元，占</w:t>
      </w:r>
      <w:r>
        <w:rPr>
          <w:rFonts w:hint="eastAsia" w:eastAsia="仿宋_GB2312"/>
          <w:sz w:val="32"/>
          <w:szCs w:val="32"/>
          <w:lang w:val="en-US" w:eastAsia="zh-CN"/>
        </w:rPr>
        <w:t>84.78</w:t>
      </w:r>
      <w:r>
        <w:rPr>
          <w:rFonts w:eastAsia="仿宋_GB2312"/>
          <w:sz w:val="32"/>
          <w:szCs w:val="32"/>
        </w:rPr>
        <w:t>%。</w:t>
      </w:r>
      <w:r>
        <w:rPr>
          <w:rFonts w:hint="eastAsia" w:eastAsia="仿宋_GB2312"/>
          <w:sz w:val="32"/>
          <w:szCs w:val="32"/>
          <w:lang w:eastAsia="zh-CN"/>
        </w:rPr>
        <w:t>其他收入</w:t>
      </w:r>
      <w:r>
        <w:rPr>
          <w:rFonts w:hint="eastAsia" w:eastAsia="仿宋_GB2312"/>
          <w:sz w:val="32"/>
          <w:szCs w:val="32"/>
          <w:lang w:val="en-US" w:eastAsia="zh-CN"/>
        </w:rPr>
        <w:t>115.2万元，占15.22%。</w:t>
      </w:r>
      <w:r>
        <w:rPr>
          <w:rFonts w:eastAsia="仿宋_GB2312"/>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adjustRightInd w:val="0"/>
        <w:snapToGrid w:val="0"/>
        <w:spacing w:line="584" w:lineRule="exact"/>
        <w:ind w:firstLine="640" w:firstLineChars="200"/>
        <w:rPr>
          <w:rFonts w:eastAsia="仿宋_GB2312"/>
          <w:sz w:val="32"/>
          <w:szCs w:val="32"/>
        </w:rPr>
      </w:pPr>
      <w:r>
        <w:rPr>
          <w:sz w:val="32"/>
        </w:rPr>
        <w:pict>
          <v:shape id="_x0000_s1059" o:spid="_x0000_s1059" o:spt="128" type="#_x0000_t128" style="position:absolute;left:0pt;margin-left:177.7pt;margin-top:10.7pt;height:96.2pt;width:46.55pt;z-index:251664384;mso-width-relative:page;mso-height-relative:page;" fillcolor="#FFFF00" filled="t" stroked="f" coordsize="21600,21600">
            <v:path/>
            <v:fill on="t" color2="#FFFFFF" focussize="0,0"/>
            <v:stroke on="f"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color w:val="FF0000"/>
                      <w:lang w:val="en-US" w:eastAsia="zh-CN"/>
                    </w:rPr>
                  </w:pPr>
                  <w:r>
                    <w:rPr>
                      <w:rFonts w:hint="eastAsia"/>
                      <w:color w:val="FF0000"/>
                      <w:spacing w:val="-20"/>
                      <w:sz w:val="18"/>
                      <w:szCs w:val="18"/>
                      <w:lang w:eastAsia="zh-CN"/>
                    </w:rPr>
                    <w:t>其他收入</w:t>
                  </w:r>
                  <w:r>
                    <w:rPr>
                      <w:rFonts w:hint="eastAsia"/>
                      <w:color w:val="FF0000"/>
                      <w:sz w:val="18"/>
                      <w:szCs w:val="18"/>
                      <w:lang w:val="en-US" w:eastAsia="zh-CN"/>
                    </w:rPr>
                    <w:t>15.22%</w:t>
                  </w:r>
                </w:p>
              </w:txbxContent>
            </v:textbox>
          </v:shape>
        </w:pict>
      </w:r>
      <w:r>
        <w:rPr>
          <w:sz w:val="32"/>
        </w:rPr>
        <w:pict>
          <v:shape id="_x0000_s1029" o:spid="_x0000_s1029" o:spt="3" type="#_x0000_t3" style="position:absolute;left:0pt;margin-left:105.3pt;margin-top:10.75pt;height:185.2pt;width:191.95pt;z-index:251658240;mso-width-relative:page;mso-height-relative:page;" fillcolor="#FF0000" filled="t" stroked="t" coordsize="21600,21600">
            <v:path/>
            <v:fill on="t" color2="#FFFFFF" focussize="0,0"/>
            <v:stroke color="#000000"/>
            <v:imagedata o:title=""/>
            <o:lock v:ext="edit" aspectratio="f"/>
            <v:textbox>
              <w:txbxContent>
                <w:p/>
                <w:p/>
                <w:p/>
                <w:p/>
                <w:p/>
                <w:p>
                  <w:pPr>
                    <w:rPr>
                      <w:rFonts w:hint="eastAsia" w:eastAsia="宋体"/>
                      <w:color w:val="FFFF00"/>
                      <w:lang w:val="en-US" w:eastAsia="zh-CN"/>
                    </w:rPr>
                  </w:pPr>
                  <w:r>
                    <w:rPr>
                      <w:rFonts w:hint="eastAsia"/>
                      <w:lang w:val="en-US" w:eastAsia="zh-CN"/>
                    </w:rPr>
                    <w:t xml:space="preserve">         </w:t>
                  </w:r>
                  <w:r>
                    <w:rPr>
                      <w:rFonts w:hint="eastAsia"/>
                      <w:color w:val="FFFF00"/>
                      <w:lang w:val="en-US" w:eastAsia="zh-CN"/>
                    </w:rPr>
                    <w:t xml:space="preserve"> 84.78%</w:t>
                  </w:r>
                </w:p>
                <w:p>
                  <w:pPr>
                    <w:rPr>
                      <w:rFonts w:hint="eastAsia" w:eastAsia="宋体"/>
                      <w:sz w:val="24"/>
                      <w:szCs w:val="24"/>
                      <w:lang w:val="en-US" w:eastAsia="zh-CN"/>
                    </w:rPr>
                  </w:pPr>
                  <w:r>
                    <w:rPr>
                      <w:rFonts w:hint="eastAsia"/>
                      <w:lang w:val="en-US" w:eastAsia="zh-CN"/>
                    </w:rPr>
                    <w:t xml:space="preserve">      </w:t>
                  </w:r>
                </w:p>
              </w:txbxContent>
            </v:textbox>
          </v:shape>
        </w:pic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hint="eastAsia" w:eastAsia="仿宋_GB2312"/>
          <w:sz w:val="32"/>
          <w:szCs w:val="32"/>
          <w:lang w:eastAsia="zh-CN"/>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3"/>
        <w:spacing w:before="0" w:after="0" w:line="584" w:lineRule="exact"/>
        <w:rPr>
          <w:rFonts w:ascii="Times New Roman" w:hAnsi="Times New Roman" w:eastAsia="黑体"/>
        </w:rPr>
      </w:pPr>
    </w:p>
    <w:p>
      <w:pPr>
        <w:pStyle w:val="3"/>
        <w:spacing w:before="0" w:after="0" w:line="584" w:lineRule="exact"/>
        <w:ind w:firstLine="643" w:firstLineChars="200"/>
        <w:rPr>
          <w:rFonts w:ascii="Times New Roman" w:hAnsi="Times New Roman" w:eastAsia="黑体"/>
        </w:rPr>
      </w:pP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三、支出决算情况说明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本部门2017年度本年支出合计</w:t>
      </w:r>
      <w:r>
        <w:rPr>
          <w:rFonts w:hint="eastAsia" w:eastAsia="仿宋_GB2312"/>
          <w:sz w:val="32"/>
          <w:szCs w:val="32"/>
          <w:lang w:val="en-US" w:eastAsia="zh-CN"/>
        </w:rPr>
        <w:t>878.5</w:t>
      </w:r>
      <w:r>
        <w:rPr>
          <w:rFonts w:eastAsia="仿宋_GB2312"/>
          <w:sz w:val="32"/>
          <w:szCs w:val="32"/>
        </w:rPr>
        <w:t>万元，其中：基本支出</w:t>
      </w:r>
      <w:r>
        <w:rPr>
          <w:rFonts w:hint="eastAsia" w:eastAsia="仿宋_GB2312"/>
          <w:sz w:val="32"/>
          <w:szCs w:val="32"/>
          <w:lang w:val="en-US" w:eastAsia="zh-CN"/>
        </w:rPr>
        <w:t>181.82</w:t>
      </w:r>
      <w:r>
        <w:rPr>
          <w:rFonts w:eastAsia="仿宋_GB2312"/>
          <w:sz w:val="32"/>
          <w:szCs w:val="32"/>
        </w:rPr>
        <w:t>万元，占</w:t>
      </w:r>
      <w:r>
        <w:rPr>
          <w:rFonts w:hint="eastAsia" w:eastAsia="仿宋_GB2312"/>
          <w:sz w:val="32"/>
          <w:szCs w:val="32"/>
          <w:lang w:val="en-US" w:eastAsia="zh-CN"/>
        </w:rPr>
        <w:t>20.7</w:t>
      </w:r>
      <w:r>
        <w:rPr>
          <w:rFonts w:eastAsia="仿宋_GB2312"/>
          <w:sz w:val="32"/>
          <w:szCs w:val="32"/>
        </w:rPr>
        <w:t>%；项目支出</w:t>
      </w:r>
      <w:r>
        <w:rPr>
          <w:rFonts w:hint="eastAsia" w:eastAsia="仿宋_GB2312"/>
          <w:sz w:val="32"/>
          <w:szCs w:val="32"/>
          <w:lang w:val="en-US" w:eastAsia="zh-CN"/>
        </w:rPr>
        <w:t>696.68</w:t>
      </w:r>
      <w:r>
        <w:rPr>
          <w:rFonts w:eastAsia="仿宋_GB2312"/>
          <w:sz w:val="32"/>
          <w:szCs w:val="32"/>
        </w:rPr>
        <w:t>万元，占</w:t>
      </w:r>
      <w:r>
        <w:rPr>
          <w:rFonts w:hint="eastAsia" w:eastAsia="仿宋_GB2312"/>
          <w:sz w:val="32"/>
          <w:szCs w:val="32"/>
          <w:lang w:val="en-US" w:eastAsia="zh-CN"/>
        </w:rPr>
        <w:t>79.3</w:t>
      </w:r>
      <w:r>
        <w:rPr>
          <w:rFonts w:eastAsia="仿宋_GB2312"/>
          <w:sz w:val="32"/>
          <w:szCs w:val="32"/>
        </w:rPr>
        <w:t>%。如图所示：</w:t>
      </w:r>
    </w:p>
    <w:p>
      <w:pPr>
        <w:adjustRightInd w:val="0"/>
        <w:snapToGrid w:val="0"/>
        <w:spacing w:line="584" w:lineRule="exact"/>
        <w:ind w:firstLine="1920" w:firstLineChars="600"/>
        <w:rPr>
          <w:rFonts w:eastAsia="仿宋_GB2312"/>
          <w:sz w:val="32"/>
          <w:szCs w:val="32"/>
        </w:rPr>
      </w:pPr>
      <w:r>
        <w:rPr>
          <w:rFonts w:eastAsia="仿宋_GB2312"/>
          <w:sz w:val="32"/>
          <w:szCs w:val="32"/>
        </w:rPr>
        <w:t>图2：支出决算结构饼状图</w:t>
      </w:r>
    </w:p>
    <w:p>
      <w:pPr>
        <w:adjustRightInd w:val="0"/>
        <w:snapToGrid w:val="0"/>
        <w:spacing w:line="584" w:lineRule="exact"/>
        <w:ind w:firstLine="1920" w:firstLineChars="600"/>
        <w:rPr>
          <w:rFonts w:hint="eastAsia" w:eastAsia="仿宋_GB2312"/>
          <w:sz w:val="32"/>
          <w:szCs w:val="32"/>
          <w:lang w:val="en-US" w:eastAsia="zh-CN"/>
        </w:rPr>
      </w:pPr>
      <w:r>
        <w:rPr>
          <w:sz w:val="32"/>
        </w:rPr>
        <w:pict>
          <v:shape id="_x0000_s1050" o:spid="_x0000_s1050" o:spt="128" type="#_x0000_t128" style="position:absolute;left:0pt;margin-left:165.85pt;margin-top:28pt;height:148.5pt;width:72.6pt;z-index:251661312;mso-width-relative:page;mso-height-relative:page;" fillcolor="#FFFF00" filled="t" stroked="t" coordsize="21600,21600">
            <v:path/>
            <v:fill on="t" color2="#FFFFFF" focussize="0,0"/>
            <v:stroke color="#FFFF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宋体"/>
                      <w:color w:val="FF0000"/>
                      <w:lang w:val="en-US" w:eastAsia="zh-CN"/>
                    </w:rPr>
                  </w:pPr>
                  <w:r>
                    <w:rPr>
                      <w:rFonts w:hint="eastAsia"/>
                      <w:color w:val="FF0000"/>
                      <w:lang w:val="en-US" w:eastAsia="zh-CN"/>
                    </w:rPr>
                    <w:t>20.7%</w:t>
                  </w:r>
                </w:p>
              </w:txbxContent>
            </v:textbox>
          </v:shape>
        </w:pict>
      </w:r>
      <w:r>
        <w:rPr>
          <w:sz w:val="32"/>
        </w:rPr>
        <w:pict>
          <v:shape id="_x0000_s1044" o:spid="_x0000_s1044" o:spt="3" type="#_x0000_t3" style="position:absolute;left:0pt;margin-left:88.8pt;margin-top:27.75pt;height:220.5pt;width:228.75pt;z-index:251660288;mso-width-relative:page;mso-height-relative:page;" fillcolor="#FF0000" filled="t" stroked="t" coordsize="21600,21600">
            <v:path/>
            <v:fill on="t" color2="#FFFFFF" focussize="0,0"/>
            <v:stroke color="#FF0000"/>
            <v:imagedata o:title=""/>
            <o:lock v:ext="edit" aspectratio="f"/>
          </v:shape>
        </w:pict>
      </w: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ind w:firstLine="1920" w:firstLineChars="600"/>
        <w:rPr>
          <w:rFonts w:hint="eastAsia" w:eastAsia="仿宋_GB2312"/>
          <w:sz w:val="32"/>
          <w:szCs w:val="32"/>
          <w:lang w:eastAsia="zh-CN"/>
        </w:rPr>
      </w:pPr>
      <w:r>
        <w:rPr>
          <w:sz w:val="32"/>
        </w:rPr>
        <w:pict>
          <v:shape id="_x0000_s1052" o:spid="_x0000_s1052" o:spt="202" type="#_x0000_t202" style="position:absolute;left:0pt;margin-left:179.55pt;margin-top:7.05pt;height:49.5pt;width:79.5pt;z-index:251662336;mso-width-relative:page;mso-height-relative:page;" fillcolor="#FF0000" filled="t" stroked="t" coordsize="21600,21600">
            <v:path/>
            <v:fill on="t" color2="#FFFFFF" focussize="0,0"/>
            <v:stroke color="#FF0000"/>
            <v:imagedata o:title=""/>
            <o:lock v:ext="edit" aspectratio="f"/>
            <v:textbox>
              <w:txbxContent>
                <w:p>
                  <w:pPr>
                    <w:rPr>
                      <w:rFonts w:hint="eastAsia" w:eastAsia="宋体"/>
                      <w:color w:val="FFFF00"/>
                      <w:sz w:val="24"/>
                      <w:szCs w:val="24"/>
                      <w:lang w:val="en-US" w:eastAsia="zh-CN"/>
                    </w:rPr>
                  </w:pPr>
                  <w:r>
                    <w:rPr>
                      <w:rFonts w:hint="eastAsia"/>
                      <w:color w:val="FFFF00"/>
                      <w:sz w:val="24"/>
                      <w:szCs w:val="24"/>
                      <w:lang w:val="en-US" w:eastAsia="zh-CN"/>
                    </w:rPr>
                    <w:t>79.3%</w:t>
                  </w:r>
                </w:p>
              </w:txbxContent>
            </v:textbox>
          </v:shape>
        </w:pict>
      </w:r>
    </w:p>
    <w:p>
      <w:pPr>
        <w:adjustRightInd w:val="0"/>
        <w:snapToGrid w:val="0"/>
        <w:spacing w:line="584" w:lineRule="exact"/>
        <w:ind w:firstLine="1920" w:firstLineChars="600"/>
        <w:rPr>
          <w:rFonts w:eastAsia="仿宋_GB2312"/>
          <w:sz w:val="32"/>
          <w:szCs w:val="32"/>
        </w:rPr>
      </w:pPr>
    </w:p>
    <w:p>
      <w:pPr>
        <w:adjustRightInd w:val="0"/>
        <w:snapToGrid w:val="0"/>
        <w:spacing w:line="584" w:lineRule="exact"/>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四、</w:t>
      </w:r>
      <w:r>
        <w:rPr>
          <w:rFonts w:ascii="Times New Roman" w:hAnsi="Times New Roman" w:eastAsia="黑体"/>
          <w:kern w:val="0"/>
        </w:rPr>
        <w:t>财政</w:t>
      </w:r>
      <w:r>
        <w:rPr>
          <w:rFonts w:ascii="Times New Roman" w:hAnsi="Times New Roman" w:eastAsia="黑体"/>
        </w:rPr>
        <w:t>拨款收入支出决算总体情况说明</w:t>
      </w:r>
    </w:p>
    <w:p>
      <w:pPr>
        <w:spacing w:line="584" w:lineRule="exact"/>
        <w:ind w:firstLine="643" w:firstLineChars="200"/>
        <w:rPr>
          <w:rFonts w:eastAsia="楷体_GB2312"/>
          <w:b/>
          <w:bCs/>
          <w:sz w:val="32"/>
          <w:szCs w:val="32"/>
        </w:rPr>
      </w:pPr>
      <w:r>
        <w:rPr>
          <w:rFonts w:eastAsia="楷体_GB2312"/>
          <w:b/>
          <w:bCs/>
          <w:sz w:val="32"/>
          <w:szCs w:val="32"/>
        </w:rPr>
        <w:t>（一）财政拨款收支与2016 年度决算对比情况</w:t>
      </w:r>
    </w:p>
    <w:p>
      <w:pPr>
        <w:adjustRightInd w:val="0"/>
        <w:snapToGrid w:val="0"/>
        <w:spacing w:line="584" w:lineRule="exact"/>
        <w:ind w:firstLine="640" w:firstLineChars="200"/>
        <w:rPr>
          <w:rFonts w:hint="eastAsia" w:eastAsia="仿宋_GB2312"/>
          <w:sz w:val="32"/>
          <w:szCs w:val="32"/>
          <w:lang w:eastAsia="zh-CN"/>
        </w:rPr>
      </w:pPr>
      <w:r>
        <w:rPr>
          <w:rFonts w:eastAsia="仿宋_GB2312"/>
          <w:sz w:val="32"/>
          <w:szCs w:val="32"/>
        </w:rPr>
        <w:t>本部门2017年度财政拨款收支为一般公共预算财政拨款</w:t>
      </w:r>
      <w:r>
        <w:rPr>
          <w:rFonts w:hint="eastAsia" w:eastAsia="仿宋_GB2312"/>
          <w:sz w:val="32"/>
          <w:szCs w:val="32"/>
          <w:lang w:eastAsia="zh-CN"/>
        </w:rPr>
        <w:t>及其他收入</w:t>
      </w:r>
      <w:r>
        <w:rPr>
          <w:rFonts w:eastAsia="仿宋_GB2312"/>
          <w:sz w:val="32"/>
          <w:szCs w:val="32"/>
        </w:rPr>
        <w:t>收支。一般公共预算财政拨款年初结转和结余</w:t>
      </w:r>
      <w:r>
        <w:rPr>
          <w:rFonts w:hint="eastAsia" w:eastAsia="仿宋_GB2312"/>
          <w:sz w:val="32"/>
          <w:szCs w:val="32"/>
          <w:lang w:val="en-US" w:eastAsia="zh-CN"/>
        </w:rPr>
        <w:t>207</w:t>
      </w:r>
      <w:r>
        <w:rPr>
          <w:rFonts w:eastAsia="仿宋_GB2312"/>
          <w:sz w:val="32"/>
          <w:szCs w:val="32"/>
        </w:rPr>
        <w:t>万元、</w:t>
      </w:r>
      <w:r>
        <w:rPr>
          <w:rFonts w:hint="eastAsia" w:eastAsia="仿宋_GB2312"/>
          <w:sz w:val="32"/>
          <w:szCs w:val="32"/>
          <w:lang w:eastAsia="zh-CN"/>
        </w:rPr>
        <w:t>一般财政拨款</w:t>
      </w:r>
      <w:r>
        <w:rPr>
          <w:rFonts w:eastAsia="仿宋_GB2312"/>
          <w:sz w:val="32"/>
          <w:szCs w:val="32"/>
        </w:rPr>
        <w:t>收入</w:t>
      </w:r>
      <w:r>
        <w:rPr>
          <w:rFonts w:hint="eastAsia" w:eastAsia="仿宋_GB2312"/>
          <w:sz w:val="32"/>
          <w:szCs w:val="32"/>
          <w:lang w:val="en-US" w:eastAsia="zh-CN"/>
        </w:rPr>
        <w:t>641.5</w:t>
      </w:r>
      <w:r>
        <w:rPr>
          <w:rFonts w:eastAsia="仿宋_GB2312"/>
          <w:sz w:val="32"/>
          <w:szCs w:val="32"/>
        </w:rPr>
        <w:t>万元</w:t>
      </w:r>
      <w:r>
        <w:rPr>
          <w:rFonts w:hint="eastAsia" w:eastAsia="仿宋_GB2312"/>
          <w:sz w:val="32"/>
          <w:szCs w:val="32"/>
          <w:lang w:eastAsia="zh-CN"/>
        </w:rPr>
        <w:t>，其他收入</w:t>
      </w:r>
      <w:r>
        <w:rPr>
          <w:rFonts w:hint="eastAsia" w:eastAsia="仿宋_GB2312"/>
          <w:sz w:val="32"/>
          <w:szCs w:val="32"/>
          <w:lang w:val="en-US" w:eastAsia="zh-CN"/>
        </w:rPr>
        <w:t>115.2万元</w:t>
      </w:r>
      <w:r>
        <w:rPr>
          <w:rFonts w:eastAsia="仿宋_GB2312"/>
          <w:sz w:val="32"/>
          <w:szCs w:val="32"/>
        </w:rPr>
        <w:t>；本年支出</w:t>
      </w:r>
      <w:r>
        <w:rPr>
          <w:rFonts w:hint="eastAsia" w:eastAsia="仿宋_GB2312"/>
          <w:sz w:val="32"/>
          <w:szCs w:val="32"/>
          <w:lang w:val="en-US" w:eastAsia="zh-CN"/>
        </w:rPr>
        <w:t>878.5</w:t>
      </w:r>
      <w:r>
        <w:rPr>
          <w:rFonts w:eastAsia="仿宋_GB2312"/>
          <w:sz w:val="32"/>
          <w:szCs w:val="32"/>
        </w:rPr>
        <w:t>万元、年末结转和结余</w:t>
      </w:r>
      <w:r>
        <w:rPr>
          <w:rFonts w:hint="eastAsia" w:eastAsia="仿宋_GB2312"/>
          <w:sz w:val="32"/>
          <w:szCs w:val="32"/>
          <w:lang w:val="en-US" w:eastAsia="zh-CN"/>
        </w:rPr>
        <w:t>85.2</w:t>
      </w:r>
      <w:r>
        <w:rPr>
          <w:rFonts w:eastAsia="仿宋_GB2312"/>
          <w:sz w:val="32"/>
          <w:szCs w:val="32"/>
        </w:rPr>
        <w:t>万元。与2016年度决算相比，一般公共预算财政拨款本年收入</w:t>
      </w:r>
      <w:r>
        <w:rPr>
          <w:rFonts w:hint="eastAsia" w:eastAsia="仿宋_GB2312"/>
          <w:sz w:val="32"/>
          <w:szCs w:val="32"/>
          <w:lang w:eastAsia="zh-CN"/>
        </w:rPr>
        <w:t>减少</w:t>
      </w:r>
      <w:r>
        <w:rPr>
          <w:rFonts w:hint="eastAsia" w:eastAsia="仿宋_GB2312"/>
          <w:sz w:val="32"/>
          <w:szCs w:val="32"/>
          <w:lang w:val="en-US" w:eastAsia="zh-CN"/>
        </w:rPr>
        <w:t>16.9</w:t>
      </w:r>
      <w:r>
        <w:rPr>
          <w:rFonts w:eastAsia="仿宋_GB2312"/>
          <w:sz w:val="32"/>
          <w:szCs w:val="32"/>
        </w:rPr>
        <w:t>万元，</w:t>
      </w:r>
      <w:r>
        <w:rPr>
          <w:rFonts w:hint="eastAsia" w:eastAsia="仿宋_GB2312"/>
          <w:sz w:val="32"/>
          <w:szCs w:val="32"/>
          <w:lang w:eastAsia="zh-CN"/>
        </w:rPr>
        <w:t>减少</w:t>
      </w:r>
      <w:r>
        <w:rPr>
          <w:rFonts w:hint="eastAsia" w:eastAsia="仿宋_GB2312"/>
          <w:sz w:val="32"/>
          <w:szCs w:val="32"/>
          <w:lang w:val="en-US" w:eastAsia="zh-CN"/>
        </w:rPr>
        <w:t>2.57</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；本年支出增加</w:t>
      </w:r>
      <w:r>
        <w:rPr>
          <w:rFonts w:hint="eastAsia" w:eastAsia="仿宋_GB2312"/>
          <w:sz w:val="32"/>
          <w:szCs w:val="32"/>
          <w:lang w:val="en-US" w:eastAsia="zh-CN"/>
        </w:rPr>
        <w:t>287.9</w:t>
      </w:r>
      <w:r>
        <w:rPr>
          <w:rFonts w:eastAsia="仿宋_GB2312"/>
          <w:sz w:val="32"/>
          <w:szCs w:val="32"/>
        </w:rPr>
        <w:t>万元，增长</w:t>
      </w:r>
      <w:r>
        <w:rPr>
          <w:rFonts w:hint="eastAsia" w:eastAsia="仿宋_GB2312"/>
          <w:sz w:val="32"/>
          <w:szCs w:val="32"/>
          <w:lang w:val="en-US" w:eastAsia="zh-CN"/>
        </w:rPr>
        <w:t>48.75</w:t>
      </w:r>
      <w:r>
        <w:rPr>
          <w:rFonts w:eastAsia="仿宋_GB2312"/>
          <w:sz w:val="32"/>
          <w:szCs w:val="32"/>
        </w:rPr>
        <w:t>%</w:t>
      </w:r>
      <w:r>
        <w:rPr>
          <w:rFonts w:hint="eastAsia" w:eastAsia="仿宋_GB2312"/>
          <w:sz w:val="32"/>
          <w:szCs w:val="32"/>
          <w:lang w:eastAsia="zh-CN"/>
        </w:rPr>
        <w:t>，</w:t>
      </w:r>
      <w:r>
        <w:rPr>
          <w:rFonts w:eastAsia="仿宋_GB2312"/>
          <w:sz w:val="32"/>
          <w:szCs w:val="32"/>
        </w:rPr>
        <w:t>主要</w:t>
      </w:r>
      <w:r>
        <w:rPr>
          <w:rFonts w:hint="eastAsia" w:eastAsia="仿宋_GB2312"/>
          <w:sz w:val="32"/>
          <w:szCs w:val="32"/>
          <w:lang w:eastAsia="zh-CN"/>
        </w:rPr>
        <w:t>项目支出增加</w:t>
      </w:r>
      <w:r>
        <w:rPr>
          <w:rFonts w:eastAsia="仿宋_GB2312"/>
          <w:sz w:val="32"/>
          <w:szCs w:val="32"/>
        </w:rPr>
        <w:t>。</w:t>
      </w:r>
    </w:p>
    <w:p>
      <w:pPr>
        <w:spacing w:line="584" w:lineRule="exact"/>
        <w:ind w:firstLine="643" w:firstLineChars="200"/>
        <w:rPr>
          <w:rFonts w:eastAsia="仿宋_GB2312"/>
          <w:b/>
          <w:bCs/>
          <w:sz w:val="32"/>
          <w:szCs w:val="32"/>
        </w:rPr>
      </w:pPr>
      <w:r>
        <w:rPr>
          <w:rFonts w:eastAsia="楷体_GB2312"/>
          <w:b/>
          <w:bCs/>
          <w:sz w:val="32"/>
          <w:szCs w:val="32"/>
        </w:rPr>
        <w:t>（二）财政拨款收支与年初预算数对比情况</w:t>
      </w:r>
    </w:p>
    <w:p>
      <w:pPr>
        <w:adjustRightInd w:val="0"/>
        <w:snapToGrid w:val="0"/>
        <w:spacing w:line="584" w:lineRule="exact"/>
        <w:ind w:firstLine="640" w:firstLineChars="200"/>
        <w:rPr>
          <w:rFonts w:hint="eastAsia" w:eastAsia="仿宋_GB2312"/>
          <w:sz w:val="32"/>
          <w:szCs w:val="32"/>
          <w:lang w:eastAsia="zh-CN"/>
        </w:rPr>
      </w:pPr>
      <w:r>
        <w:rPr>
          <w:rFonts w:eastAsia="仿宋_GB2312"/>
          <w:sz w:val="32"/>
          <w:szCs w:val="32"/>
        </w:rPr>
        <w:t>本部门2017年度一般公共预算财政拨款本年收入较2017年初预算增加</w:t>
      </w:r>
      <w:r>
        <w:rPr>
          <w:rFonts w:hint="eastAsia" w:eastAsia="仿宋_GB2312"/>
          <w:sz w:val="32"/>
          <w:szCs w:val="32"/>
          <w:lang w:val="en-US" w:eastAsia="zh-CN"/>
        </w:rPr>
        <w:t>162.11</w:t>
      </w:r>
      <w:r>
        <w:rPr>
          <w:rFonts w:eastAsia="仿宋_GB2312"/>
          <w:sz w:val="32"/>
          <w:szCs w:val="32"/>
        </w:rPr>
        <w:t>万元，增长</w:t>
      </w:r>
      <w:r>
        <w:rPr>
          <w:rFonts w:hint="eastAsia" w:eastAsia="仿宋_GB2312"/>
          <w:sz w:val="32"/>
          <w:szCs w:val="32"/>
          <w:lang w:val="en-US" w:eastAsia="zh-CN"/>
        </w:rPr>
        <w:t>33.82</w:t>
      </w:r>
      <w:r>
        <w:rPr>
          <w:rFonts w:eastAsia="仿宋_GB2312"/>
          <w:sz w:val="32"/>
          <w:szCs w:val="32"/>
        </w:rPr>
        <w:t>%，主要原因是</w:t>
      </w:r>
      <w:r>
        <w:rPr>
          <w:rFonts w:hint="eastAsia" w:ascii="Calibri" w:hAnsi="Calibri" w:eastAsia="仿宋_GB2312" w:cs="Times New Roman"/>
          <w:sz w:val="32"/>
          <w:szCs w:val="32"/>
          <w:lang w:eastAsia="zh-CN"/>
        </w:rPr>
        <w:t>项目支出</w:t>
      </w:r>
      <w:r>
        <w:rPr>
          <w:rFonts w:hint="eastAsia" w:ascii="Calibri" w:hAnsi="Calibri" w:eastAsia="仿宋_GB2312" w:cs="Times New Roman"/>
          <w:sz w:val="32"/>
          <w:szCs w:val="32"/>
        </w:rPr>
        <w:t>有所增加</w:t>
      </w:r>
      <w:r>
        <w:rPr>
          <w:rFonts w:eastAsia="仿宋_GB2312"/>
          <w:sz w:val="32"/>
          <w:szCs w:val="32"/>
        </w:rPr>
        <w:t>；本年支出增加</w:t>
      </w:r>
      <w:r>
        <w:rPr>
          <w:rFonts w:hint="eastAsia" w:eastAsia="仿宋_GB2312"/>
          <w:sz w:val="32"/>
          <w:szCs w:val="32"/>
          <w:lang w:val="en-US" w:eastAsia="zh-CN"/>
        </w:rPr>
        <w:t>162.11</w:t>
      </w:r>
      <w:r>
        <w:rPr>
          <w:rFonts w:eastAsia="仿宋_GB2312"/>
          <w:sz w:val="32"/>
          <w:szCs w:val="32"/>
        </w:rPr>
        <w:t>万元，增长</w:t>
      </w:r>
      <w:r>
        <w:rPr>
          <w:rFonts w:hint="eastAsia" w:eastAsia="仿宋_GB2312"/>
          <w:sz w:val="32"/>
          <w:szCs w:val="32"/>
          <w:lang w:val="en-US" w:eastAsia="zh-CN"/>
        </w:rPr>
        <w:t>33.82</w:t>
      </w:r>
      <w:r>
        <w:rPr>
          <w:rFonts w:eastAsia="仿宋_GB2312"/>
          <w:sz w:val="32"/>
          <w:szCs w:val="32"/>
        </w:rPr>
        <w:t>%</w:t>
      </w:r>
      <w:r>
        <w:rPr>
          <w:rFonts w:hint="eastAsia" w:eastAsia="仿宋_GB2312"/>
          <w:sz w:val="32"/>
          <w:szCs w:val="32"/>
          <w:lang w:eastAsia="zh-CN"/>
        </w:rPr>
        <w:t>，</w:t>
      </w:r>
      <w:r>
        <w:rPr>
          <w:rFonts w:eastAsia="仿宋_GB2312"/>
          <w:sz w:val="32"/>
          <w:szCs w:val="32"/>
        </w:rPr>
        <w:t>主要原因是</w:t>
      </w:r>
      <w:r>
        <w:rPr>
          <w:rFonts w:hint="eastAsia" w:eastAsia="仿宋_GB2312"/>
          <w:sz w:val="32"/>
          <w:szCs w:val="32"/>
          <w:lang w:eastAsia="zh-CN"/>
        </w:rPr>
        <w:t>项目支出有所增加</w:t>
      </w:r>
      <w:r>
        <w:rPr>
          <w:rFonts w:eastAsia="仿宋_GB2312"/>
          <w:sz w:val="32"/>
          <w:szCs w:val="32"/>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本部门2017年度一般公共预算财政拨款“三公”经费支出共计</w:t>
      </w:r>
      <w:r>
        <w:rPr>
          <w:rFonts w:hint="eastAsia" w:eastAsia="仿宋_GB2312"/>
          <w:sz w:val="32"/>
          <w:szCs w:val="32"/>
          <w:lang w:val="en-US" w:eastAsia="zh-CN"/>
        </w:rPr>
        <w:t>10.96</w:t>
      </w:r>
      <w:r>
        <w:rPr>
          <w:rFonts w:eastAsia="仿宋_GB2312"/>
          <w:sz w:val="32"/>
          <w:szCs w:val="32"/>
        </w:rPr>
        <w:t>万元，较年初预算</w:t>
      </w:r>
      <w:r>
        <w:rPr>
          <w:rFonts w:hint="eastAsia" w:eastAsia="仿宋_GB2312"/>
          <w:sz w:val="32"/>
          <w:szCs w:val="32"/>
          <w:lang w:eastAsia="zh-CN"/>
        </w:rPr>
        <w:t>增加</w:t>
      </w:r>
      <w:r>
        <w:rPr>
          <w:rFonts w:hint="eastAsia" w:eastAsia="仿宋_GB2312"/>
          <w:sz w:val="32"/>
          <w:szCs w:val="32"/>
          <w:lang w:val="en-US" w:eastAsia="zh-CN"/>
        </w:rPr>
        <w:t>3.46万元，增长46.13%。</w:t>
      </w:r>
      <w:r>
        <w:rPr>
          <w:rFonts w:eastAsia="仿宋_GB2312"/>
          <w:sz w:val="32"/>
          <w:szCs w:val="32"/>
        </w:rPr>
        <w:t>较2016年度决算减少</w:t>
      </w:r>
      <w:r>
        <w:rPr>
          <w:rFonts w:hint="eastAsia" w:eastAsia="仿宋_GB2312"/>
          <w:sz w:val="32"/>
          <w:szCs w:val="32"/>
          <w:lang w:val="en-US" w:eastAsia="zh-CN"/>
        </w:rPr>
        <w:t>0.54</w:t>
      </w:r>
      <w:r>
        <w:rPr>
          <w:rFonts w:eastAsia="仿宋_GB2312"/>
          <w:sz w:val="32"/>
          <w:szCs w:val="32"/>
        </w:rPr>
        <w:t>万元，降低</w:t>
      </w:r>
      <w:r>
        <w:rPr>
          <w:rFonts w:hint="eastAsia" w:eastAsia="仿宋_GB2312"/>
          <w:sz w:val="32"/>
          <w:szCs w:val="32"/>
          <w:lang w:val="en-US" w:eastAsia="zh-CN"/>
        </w:rPr>
        <w:t>4.07</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本部门2017年度因公出国（境）团组</w:t>
      </w:r>
      <w:r>
        <w:rPr>
          <w:rFonts w:hint="eastAsia" w:eastAsia="仿宋_GB2312"/>
          <w:sz w:val="32"/>
          <w:szCs w:val="32"/>
          <w:lang w:val="en-US" w:eastAsia="zh-CN"/>
        </w:rPr>
        <w:t>0</w:t>
      </w:r>
      <w:r>
        <w:rPr>
          <w:rFonts w:eastAsia="仿宋_GB2312"/>
          <w:sz w:val="32"/>
          <w:szCs w:val="32"/>
        </w:rPr>
        <w:t xml:space="preserve"> 个，因公出国（境）人次数</w:t>
      </w:r>
      <w:r>
        <w:rPr>
          <w:rFonts w:hint="eastAsia" w:eastAsia="仿宋_GB2312"/>
          <w:sz w:val="32"/>
          <w:szCs w:val="32"/>
          <w:lang w:val="en-US" w:eastAsia="zh-CN"/>
        </w:rPr>
        <w:t>0</w:t>
      </w:r>
      <w:r>
        <w:rPr>
          <w:rFonts w:eastAsia="仿宋_GB2312"/>
          <w:sz w:val="32"/>
          <w:szCs w:val="32"/>
        </w:rPr>
        <w:t>人。因公出国（境）费支出较年初预算增加（减少）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，主要原因：无因公出国（境）人员</w:t>
      </w:r>
      <w:r>
        <w:rPr>
          <w:rFonts w:eastAsia="仿宋_GB2312"/>
          <w:sz w:val="32"/>
          <w:szCs w:val="32"/>
        </w:rPr>
        <w:t>。较2016年度决算增加（减少）</w:t>
      </w:r>
      <w:r>
        <w:rPr>
          <w:rFonts w:hint="eastAsia" w:eastAsia="仿宋_GB2312"/>
          <w:sz w:val="32"/>
          <w:szCs w:val="32"/>
          <w:lang w:val="en-US" w:eastAsia="zh-CN"/>
        </w:rPr>
        <w:t>0</w:t>
      </w:r>
      <w:r>
        <w:rPr>
          <w:rFonts w:eastAsia="仿宋_GB2312"/>
          <w:sz w:val="32"/>
          <w:szCs w:val="32"/>
        </w:rPr>
        <w:t>万元，增长（降低）</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，主要原因：无因公出国（境）人员</w:t>
      </w:r>
      <w:r>
        <w:rPr>
          <w:rFonts w:eastAsia="仿宋_GB2312"/>
          <w:sz w:val="32"/>
          <w:szCs w:val="32"/>
        </w:rPr>
        <w:t>。</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10.96</w:t>
      </w:r>
      <w:r>
        <w:rPr>
          <w:rFonts w:eastAsia="楷体_GB2312"/>
          <w:b/>
          <w:bCs/>
          <w:sz w:val="32"/>
          <w:szCs w:val="32"/>
        </w:rPr>
        <w:t>万元。</w:t>
      </w:r>
    </w:p>
    <w:p>
      <w:pPr>
        <w:adjustRightInd w:val="0"/>
        <w:snapToGrid w:val="0"/>
        <w:spacing w:line="584" w:lineRule="exact"/>
        <w:ind w:firstLine="643" w:firstLineChars="200"/>
        <w:rPr>
          <w:rFonts w:eastAsia="仿宋_GB2312"/>
          <w:sz w:val="32"/>
          <w:szCs w:val="32"/>
        </w:rPr>
      </w:pPr>
      <w:r>
        <w:rPr>
          <w:rFonts w:eastAsia="仿宋_GB2312"/>
          <w:b/>
          <w:bCs/>
          <w:sz w:val="32"/>
          <w:szCs w:val="32"/>
        </w:rPr>
        <w:t>其中：</w:t>
      </w: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本部门2017年度公务用车购置</w:t>
      </w:r>
      <w:r>
        <w:rPr>
          <w:rFonts w:hint="eastAsia" w:eastAsia="仿宋_GB2312"/>
          <w:sz w:val="32"/>
          <w:szCs w:val="32"/>
        </w:rPr>
        <w:t>数</w:t>
      </w:r>
      <w:r>
        <w:rPr>
          <w:rFonts w:eastAsia="仿宋_GB2312"/>
          <w:sz w:val="32"/>
          <w:szCs w:val="32"/>
        </w:rPr>
        <w:t>量</w:t>
      </w:r>
      <w:r>
        <w:rPr>
          <w:rFonts w:hint="eastAsia" w:eastAsia="仿宋_GB2312"/>
          <w:sz w:val="32"/>
          <w:szCs w:val="32"/>
          <w:lang w:val="en-US" w:eastAsia="zh-CN"/>
        </w:rPr>
        <w:t>0</w:t>
      </w:r>
      <w:r>
        <w:rPr>
          <w:rFonts w:eastAsia="仿宋_GB2312"/>
          <w:sz w:val="32"/>
          <w:szCs w:val="32"/>
        </w:rPr>
        <w:t>辆。公务用车购置费支出较年初预算增加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，主要原因：未购置公务用车</w:t>
      </w:r>
      <w:r>
        <w:rPr>
          <w:rFonts w:eastAsia="仿宋_GB2312"/>
          <w:sz w:val="32"/>
          <w:szCs w:val="32"/>
        </w:rPr>
        <w:t>；较2016年度决算增加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，主要原因：未购置公务用车</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公务用车运行维护费支出</w:t>
      </w:r>
      <w:r>
        <w:rPr>
          <w:rFonts w:hint="eastAsia" w:eastAsia="仿宋_GB2312"/>
          <w:b/>
          <w:sz w:val="32"/>
          <w:szCs w:val="32"/>
          <w:lang w:val="en-US" w:eastAsia="zh-CN"/>
        </w:rPr>
        <w:t>10.96</w:t>
      </w:r>
      <w:r>
        <w:rPr>
          <w:rFonts w:eastAsia="仿宋_GB2312"/>
          <w:b/>
          <w:sz w:val="32"/>
          <w:szCs w:val="32"/>
        </w:rPr>
        <w:t>万元。</w:t>
      </w:r>
      <w:r>
        <w:rPr>
          <w:rFonts w:eastAsia="仿宋_GB2312"/>
          <w:sz w:val="32"/>
          <w:szCs w:val="32"/>
        </w:rPr>
        <w:t>本部门2017年末单位公务用车保有量</w:t>
      </w:r>
      <w:r>
        <w:rPr>
          <w:rFonts w:hint="eastAsia" w:eastAsia="仿宋_GB2312"/>
          <w:sz w:val="32"/>
          <w:szCs w:val="32"/>
          <w:lang w:val="en-US" w:eastAsia="zh-CN"/>
        </w:rPr>
        <w:t>2</w:t>
      </w:r>
      <w:r>
        <w:rPr>
          <w:rFonts w:eastAsia="仿宋_GB2312"/>
          <w:sz w:val="32"/>
          <w:szCs w:val="32"/>
        </w:rPr>
        <w:t>辆。公车运行维护费支出较年初预算</w:t>
      </w:r>
      <w:r>
        <w:rPr>
          <w:rFonts w:hint="eastAsia" w:eastAsia="仿宋_GB2312"/>
          <w:sz w:val="32"/>
          <w:szCs w:val="32"/>
          <w:lang w:eastAsia="zh-CN"/>
        </w:rPr>
        <w:t>增加</w:t>
      </w:r>
      <w:r>
        <w:rPr>
          <w:rFonts w:hint="eastAsia" w:eastAsia="仿宋_GB2312"/>
          <w:sz w:val="32"/>
          <w:szCs w:val="32"/>
          <w:lang w:val="en-US" w:eastAsia="zh-CN"/>
        </w:rPr>
        <w:t>3.46</w:t>
      </w:r>
      <w:r>
        <w:rPr>
          <w:rFonts w:eastAsia="仿宋_GB2312"/>
          <w:sz w:val="32"/>
          <w:szCs w:val="32"/>
        </w:rPr>
        <w:t>万元，</w:t>
      </w:r>
      <w:r>
        <w:rPr>
          <w:rFonts w:hint="eastAsia" w:eastAsia="仿宋_GB2312"/>
          <w:sz w:val="32"/>
          <w:szCs w:val="32"/>
          <w:lang w:eastAsia="zh-CN"/>
        </w:rPr>
        <w:t>增加</w:t>
      </w:r>
      <w:r>
        <w:rPr>
          <w:rFonts w:hint="eastAsia" w:eastAsia="仿宋_GB2312"/>
          <w:sz w:val="32"/>
          <w:szCs w:val="32"/>
          <w:lang w:val="en-US" w:eastAsia="zh-CN"/>
        </w:rPr>
        <w:t>46.13</w:t>
      </w:r>
      <w:r>
        <w:rPr>
          <w:rFonts w:eastAsia="仿宋_GB2312"/>
          <w:sz w:val="32"/>
          <w:szCs w:val="32"/>
        </w:rPr>
        <w:t>%,主要原因是</w:t>
      </w:r>
      <w:r>
        <w:rPr>
          <w:rFonts w:hint="eastAsia" w:ascii="Calibri" w:hAnsi="Calibri" w:eastAsia="仿宋_GB2312" w:cs="Times New Roman"/>
          <w:sz w:val="32"/>
          <w:szCs w:val="32"/>
          <w:lang w:eastAsia="zh-CN"/>
        </w:rPr>
        <w:t>宣传活动较多</w:t>
      </w:r>
      <w:r>
        <w:rPr>
          <w:rFonts w:eastAsia="仿宋_GB2312"/>
          <w:sz w:val="32"/>
          <w:szCs w:val="32"/>
        </w:rPr>
        <w:t>；较2016年度决算减少</w:t>
      </w:r>
      <w:r>
        <w:rPr>
          <w:rFonts w:hint="eastAsia" w:eastAsia="仿宋_GB2312"/>
          <w:sz w:val="32"/>
          <w:szCs w:val="32"/>
          <w:lang w:val="en-US" w:eastAsia="zh-CN"/>
        </w:rPr>
        <w:t>0.54</w:t>
      </w:r>
      <w:r>
        <w:rPr>
          <w:rFonts w:eastAsia="仿宋_GB2312"/>
          <w:sz w:val="32"/>
          <w:szCs w:val="32"/>
        </w:rPr>
        <w:t>万元，降低</w:t>
      </w:r>
      <w:r>
        <w:rPr>
          <w:rFonts w:hint="eastAsia" w:eastAsia="仿宋_GB2312"/>
          <w:sz w:val="32"/>
          <w:szCs w:val="32"/>
          <w:lang w:val="en-US" w:eastAsia="zh-CN"/>
        </w:rPr>
        <w:t>4.07</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w:t>
      </w:r>
    </w:p>
    <w:p>
      <w:pPr>
        <w:adjustRightInd w:val="0"/>
        <w:snapToGrid w:val="0"/>
        <w:spacing w:line="584" w:lineRule="exact"/>
        <w:ind w:firstLine="643" w:firstLineChars="200"/>
        <w:rPr>
          <w:rFonts w:hint="eastAsia" w:ascii="Calibri" w:hAnsi="Calibri" w:eastAsia="仿宋_GB2312" w:cs="Times New Roman"/>
          <w:sz w:val="32"/>
          <w:szCs w:val="32"/>
          <w:lang w:eastAsia="zh-CN"/>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本部门2017年度公务接待共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人次。公务接待费支出较年初预算减少</w:t>
      </w:r>
      <w:r>
        <w:rPr>
          <w:rFonts w:hint="eastAsia" w:eastAsia="仿宋_GB2312"/>
          <w:sz w:val="32"/>
          <w:szCs w:val="32"/>
          <w:lang w:val="en-US" w:eastAsia="zh-CN"/>
        </w:rPr>
        <w:t>0</w:t>
      </w:r>
      <w:r>
        <w:rPr>
          <w:rFonts w:eastAsia="仿宋_GB2312"/>
          <w:sz w:val="32"/>
          <w:szCs w:val="32"/>
        </w:rPr>
        <w:t>万元，降低</w:t>
      </w:r>
      <w:r>
        <w:rPr>
          <w:rFonts w:hint="eastAsia" w:eastAsia="仿宋_GB2312"/>
          <w:sz w:val="32"/>
          <w:szCs w:val="32"/>
          <w:lang w:val="en-US" w:eastAsia="zh-CN"/>
        </w:rPr>
        <w:t>0</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eastAsia="仿宋_GB2312"/>
          <w:sz w:val="32"/>
          <w:szCs w:val="32"/>
        </w:rPr>
        <w:t>；较2016年度决算减少</w:t>
      </w:r>
      <w:r>
        <w:rPr>
          <w:rFonts w:hint="eastAsia" w:eastAsia="仿宋_GB2312"/>
          <w:sz w:val="32"/>
          <w:szCs w:val="32"/>
          <w:lang w:val="en-US" w:eastAsia="zh-CN"/>
        </w:rPr>
        <w:t>0</w:t>
      </w:r>
      <w:r>
        <w:rPr>
          <w:rFonts w:eastAsia="仿宋_GB2312"/>
          <w:sz w:val="32"/>
          <w:szCs w:val="32"/>
        </w:rPr>
        <w:t>万元，降低</w:t>
      </w:r>
      <w:r>
        <w:rPr>
          <w:rFonts w:hint="eastAsia" w:eastAsia="仿宋_GB2312"/>
          <w:sz w:val="32"/>
          <w:szCs w:val="32"/>
          <w:lang w:val="en-US" w:eastAsia="zh-CN"/>
        </w:rPr>
        <w:t>89</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hint="eastAsia" w:ascii="Calibri" w:hAnsi="Calibri" w:eastAsia="仿宋_GB2312" w:cs="Times New Roman"/>
          <w:sz w:val="32"/>
          <w:szCs w:val="32"/>
          <w:lang w:eastAsia="zh-CN"/>
        </w:rPr>
        <w:t>。</w:t>
      </w:r>
    </w:p>
    <w:p>
      <w:pPr>
        <w:pStyle w:val="3"/>
        <w:spacing w:before="0" w:after="0" w:line="584" w:lineRule="exact"/>
        <w:ind w:firstLine="643" w:firstLineChars="200"/>
        <w:rPr>
          <w:rFonts w:ascii="Times New Roman" w:hAnsi="Times New Roman" w:eastAsia="黑体"/>
        </w:rPr>
      </w:pPr>
      <w:r>
        <w:rPr>
          <w:rFonts w:ascii="Times New Roman" w:hAnsi="Times New Roman" w:eastAsia="黑体"/>
        </w:rPr>
        <w:t>六、绩效预算</w:t>
      </w:r>
      <w:r>
        <w:rPr>
          <w:rFonts w:ascii="Times New Roman" w:hAnsi="Times New Roman" w:eastAsia="黑体"/>
          <w:kern w:val="0"/>
        </w:rPr>
        <w:t>管理</w:t>
      </w:r>
      <w:r>
        <w:rPr>
          <w:rFonts w:ascii="Times New Roman" w:hAnsi="Times New Roman" w:eastAsia="黑体"/>
        </w:rPr>
        <w:t>工作开展情况说明</w:t>
      </w:r>
    </w:p>
    <w:p>
      <w:pPr>
        <w:adjustRightInd w:val="0"/>
        <w:snapToGrid w:val="0"/>
        <w:spacing w:line="584" w:lineRule="exact"/>
        <w:ind w:firstLine="640" w:firstLineChars="200"/>
        <w:rPr>
          <w:rFonts w:hint="eastAsia" w:eastAsia="仿宋_GB2312"/>
          <w:sz w:val="32"/>
          <w:szCs w:val="32"/>
        </w:rPr>
      </w:pPr>
      <w:r>
        <w:rPr>
          <w:rFonts w:hint="eastAsia" w:eastAsia="仿宋_GB2312"/>
          <w:sz w:val="32"/>
          <w:szCs w:val="32"/>
        </w:rPr>
        <w:t>（一）绩效管理工作开展情况</w:t>
      </w:r>
    </w:p>
    <w:p>
      <w:pPr>
        <w:adjustRightInd w:val="0"/>
        <w:snapToGrid w:val="0"/>
        <w:spacing w:line="584" w:lineRule="exact"/>
        <w:ind w:firstLine="640" w:firstLineChars="200"/>
        <w:rPr>
          <w:rFonts w:hint="eastAsia" w:eastAsia="仿宋_GB2312"/>
          <w:sz w:val="32"/>
          <w:szCs w:val="32"/>
        </w:rPr>
      </w:pPr>
      <w:r>
        <w:rPr>
          <w:rFonts w:hint="eastAsia" w:eastAsia="仿宋_GB2312"/>
          <w:sz w:val="32"/>
          <w:szCs w:val="32"/>
        </w:rPr>
        <w:t xml:space="preserve"> 2017 年中共</w:t>
      </w:r>
      <w:r>
        <w:rPr>
          <w:rFonts w:hint="eastAsia" w:eastAsia="仿宋_GB2312"/>
          <w:sz w:val="32"/>
          <w:szCs w:val="32"/>
          <w:lang w:eastAsia="zh-CN"/>
        </w:rPr>
        <w:t>大城县</w:t>
      </w:r>
      <w:r>
        <w:rPr>
          <w:rFonts w:hint="eastAsia" w:eastAsia="仿宋_GB2312"/>
          <w:sz w:val="32"/>
          <w:szCs w:val="32"/>
        </w:rPr>
        <w:t xml:space="preserve">委宣传部对重大支出政策或重大项目开展了财政重点绩效评价，评价资金量 </w:t>
      </w:r>
      <w:r>
        <w:rPr>
          <w:rFonts w:hint="eastAsia" w:eastAsia="仿宋_GB2312"/>
          <w:sz w:val="32"/>
          <w:szCs w:val="32"/>
          <w:lang w:val="en-US" w:eastAsia="zh-CN"/>
        </w:rPr>
        <w:t>756</w:t>
      </w:r>
      <w:r>
        <w:rPr>
          <w:rFonts w:hint="eastAsia" w:eastAsia="仿宋_GB2312"/>
          <w:sz w:val="32"/>
          <w:szCs w:val="32"/>
        </w:rPr>
        <w:t xml:space="preserve"> 余万元。各项资金安排符合</w:t>
      </w:r>
      <w:r>
        <w:rPr>
          <w:rFonts w:hint="eastAsia" w:eastAsia="仿宋_GB2312"/>
          <w:sz w:val="32"/>
          <w:szCs w:val="32"/>
          <w:lang w:eastAsia="zh-CN"/>
        </w:rPr>
        <w:t>县</w:t>
      </w:r>
      <w:r>
        <w:rPr>
          <w:rFonts w:hint="eastAsia" w:eastAsia="仿宋_GB2312"/>
          <w:sz w:val="32"/>
          <w:szCs w:val="32"/>
        </w:rPr>
        <w:t>委市政府决策部署，符合当前经济社会发展需要，各项经费的使用为宣传文化事业发展起到了很好的推动作用。自我评价为优。</w:t>
      </w:r>
    </w:p>
    <w:p>
      <w:pPr>
        <w:numPr>
          <w:ilvl w:val="0"/>
          <w:numId w:val="4"/>
        </w:numPr>
        <w:adjustRightInd w:val="0"/>
        <w:snapToGrid w:val="0"/>
        <w:spacing w:line="584" w:lineRule="exact"/>
        <w:ind w:firstLine="640" w:firstLineChars="200"/>
        <w:rPr>
          <w:rFonts w:hint="eastAsia" w:eastAsia="仿宋_GB2312"/>
          <w:sz w:val="32"/>
          <w:szCs w:val="32"/>
        </w:rPr>
      </w:pPr>
      <w:r>
        <w:rPr>
          <w:rFonts w:hint="eastAsia" w:eastAsia="仿宋_GB2312"/>
          <w:sz w:val="32"/>
          <w:szCs w:val="32"/>
        </w:rPr>
        <w:t>预算项目绩效评价开展情况</w:t>
      </w:r>
    </w:p>
    <w:p>
      <w:pPr>
        <w:numPr>
          <w:ilvl w:val="0"/>
          <w:numId w:val="0"/>
        </w:numPr>
        <w:adjustRightInd w:val="0"/>
        <w:snapToGrid w:val="0"/>
        <w:spacing w:line="584" w:lineRule="exact"/>
        <w:rPr>
          <w:rFonts w:hint="eastAsia" w:eastAsia="仿宋_GB2312"/>
          <w:sz w:val="32"/>
          <w:szCs w:val="32"/>
        </w:rPr>
      </w:pPr>
      <w:r>
        <w:rPr>
          <w:rFonts w:hint="eastAsia" w:eastAsia="仿宋_GB2312"/>
          <w:sz w:val="32"/>
          <w:szCs w:val="32"/>
          <w:lang w:eastAsia="zh-CN"/>
        </w:rPr>
        <w:t>　　县</w:t>
      </w:r>
      <w:r>
        <w:rPr>
          <w:rFonts w:hint="eastAsia" w:eastAsia="仿宋_GB2312"/>
          <w:sz w:val="32"/>
          <w:szCs w:val="32"/>
        </w:rPr>
        <w:t>委宣传部开展专项资金安排符合</w:t>
      </w:r>
      <w:r>
        <w:rPr>
          <w:rFonts w:hint="eastAsia" w:eastAsia="仿宋_GB2312"/>
          <w:sz w:val="32"/>
          <w:szCs w:val="32"/>
          <w:lang w:eastAsia="zh-CN"/>
        </w:rPr>
        <w:t>县</w:t>
      </w:r>
      <w:r>
        <w:rPr>
          <w:rFonts w:hint="eastAsia" w:eastAsia="仿宋_GB2312"/>
          <w:sz w:val="32"/>
          <w:szCs w:val="32"/>
        </w:rPr>
        <w:t>委</w:t>
      </w:r>
      <w:r>
        <w:rPr>
          <w:rFonts w:hint="eastAsia" w:eastAsia="仿宋_GB2312"/>
          <w:sz w:val="32"/>
          <w:szCs w:val="32"/>
          <w:lang w:eastAsia="zh-CN"/>
        </w:rPr>
        <w:t>县</w:t>
      </w:r>
      <w:r>
        <w:rPr>
          <w:rFonts w:hint="eastAsia" w:eastAsia="仿宋_GB2312"/>
          <w:sz w:val="32"/>
          <w:szCs w:val="32"/>
        </w:rPr>
        <w:t>政府决策部署，符合当前经济社会发展需要，各专项经费的使用为宣传文化事业发展起到了很好的推动作用。自我评价为优。</w:t>
      </w:r>
    </w:p>
    <w:p>
      <w:pPr>
        <w:numPr>
          <w:ilvl w:val="0"/>
          <w:numId w:val="4"/>
        </w:numPr>
        <w:adjustRightInd w:val="0"/>
        <w:snapToGrid w:val="0"/>
        <w:spacing w:line="584" w:lineRule="exact"/>
        <w:ind w:left="0" w:leftChars="0" w:firstLine="640" w:firstLineChars="200"/>
        <w:rPr>
          <w:rFonts w:hint="eastAsia" w:eastAsia="仿宋_GB2312"/>
          <w:sz w:val="32"/>
          <w:szCs w:val="32"/>
        </w:rPr>
      </w:pPr>
      <w:r>
        <w:rPr>
          <w:rFonts w:hint="eastAsia" w:eastAsia="仿宋_GB2312"/>
          <w:sz w:val="32"/>
          <w:szCs w:val="32"/>
        </w:rPr>
        <w:t>预算项目绩效自评选例</w:t>
      </w:r>
    </w:p>
    <w:p>
      <w:pPr>
        <w:numPr>
          <w:ilvl w:val="0"/>
          <w:numId w:val="0"/>
        </w:numPr>
        <w:adjustRightInd w:val="0"/>
        <w:snapToGrid w:val="0"/>
        <w:spacing w:line="584" w:lineRule="exact"/>
        <w:ind w:leftChars="200"/>
        <w:rPr>
          <w:rFonts w:hint="eastAsia" w:eastAsia="仿宋_GB2312"/>
          <w:sz w:val="32"/>
          <w:szCs w:val="32"/>
          <w:lang w:val="en-US" w:eastAsia="zh-CN"/>
        </w:rPr>
      </w:pPr>
      <w:r>
        <w:rPr>
          <w:rFonts w:hint="eastAsia" w:eastAsia="仿宋_GB2312"/>
          <w:sz w:val="32"/>
          <w:szCs w:val="32"/>
          <w:lang w:eastAsia="zh-CN"/>
        </w:rPr>
        <w:t>　</w:t>
      </w:r>
      <w:r>
        <w:rPr>
          <w:rFonts w:hint="eastAsia" w:eastAsia="仿宋_GB2312"/>
          <w:sz w:val="32"/>
          <w:szCs w:val="32"/>
          <w:lang w:val="en-US" w:eastAsia="zh-CN"/>
        </w:rPr>
        <w:t xml:space="preserve"> </w:t>
      </w:r>
      <w:r>
        <w:rPr>
          <w:rFonts w:hint="eastAsia" w:eastAsia="仿宋_GB2312"/>
          <w:sz w:val="32"/>
          <w:szCs w:val="32"/>
        </w:rPr>
        <w:t>2017 年中共</w:t>
      </w:r>
      <w:r>
        <w:rPr>
          <w:rFonts w:hint="eastAsia" w:eastAsia="仿宋_GB2312"/>
          <w:sz w:val="32"/>
          <w:szCs w:val="32"/>
          <w:lang w:eastAsia="zh-CN"/>
        </w:rPr>
        <w:t>大城县</w:t>
      </w:r>
      <w:r>
        <w:rPr>
          <w:rFonts w:hint="eastAsia" w:eastAsia="仿宋_GB2312"/>
          <w:sz w:val="32"/>
          <w:szCs w:val="32"/>
        </w:rPr>
        <w:t xml:space="preserve">委宣传部对重大支出政策或重大项目开展了财政重点绩效评价，评价资金量 </w:t>
      </w:r>
      <w:r>
        <w:rPr>
          <w:rFonts w:hint="eastAsia" w:eastAsia="仿宋_GB2312"/>
          <w:sz w:val="32"/>
          <w:szCs w:val="32"/>
          <w:lang w:val="en-US" w:eastAsia="zh-CN"/>
        </w:rPr>
        <w:t>696</w:t>
      </w:r>
      <w:r>
        <w:rPr>
          <w:rFonts w:hint="eastAsia" w:eastAsia="仿宋_GB2312"/>
          <w:sz w:val="32"/>
          <w:szCs w:val="32"/>
        </w:rPr>
        <w:t xml:space="preserve"> 余万元。各专项资金安排符合</w:t>
      </w:r>
      <w:r>
        <w:rPr>
          <w:rFonts w:hint="eastAsia" w:eastAsia="仿宋_GB2312"/>
          <w:sz w:val="32"/>
          <w:szCs w:val="32"/>
          <w:lang w:eastAsia="zh-CN"/>
        </w:rPr>
        <w:t>县</w:t>
      </w:r>
      <w:r>
        <w:rPr>
          <w:rFonts w:hint="eastAsia" w:eastAsia="仿宋_GB2312"/>
          <w:sz w:val="32"/>
          <w:szCs w:val="32"/>
        </w:rPr>
        <w:t>委</w:t>
      </w:r>
      <w:r>
        <w:rPr>
          <w:rFonts w:hint="eastAsia" w:eastAsia="仿宋_GB2312"/>
          <w:sz w:val="32"/>
          <w:szCs w:val="32"/>
          <w:lang w:eastAsia="zh-CN"/>
        </w:rPr>
        <w:t>县</w:t>
      </w:r>
      <w:r>
        <w:rPr>
          <w:rFonts w:hint="eastAsia" w:eastAsia="仿宋_GB2312"/>
          <w:sz w:val="32"/>
          <w:szCs w:val="32"/>
        </w:rPr>
        <w:t>政府决策部署，符合当前经济社会发展需要，各专项经费的使用为宣传文化事业发展起到了很好的推动作用。自我评价为优。</w:t>
      </w:r>
      <w:r>
        <w:rPr>
          <w:rFonts w:hint="eastAsia" w:eastAsia="仿宋_GB2312"/>
          <w:sz w:val="32"/>
          <w:szCs w:val="32"/>
          <w:lang w:val="en-US" w:eastAsia="zh-CN"/>
        </w:rPr>
        <w:t xml:space="preserve">    </w:t>
      </w:r>
    </w:p>
    <w:p>
      <w:pPr>
        <w:pStyle w:val="3"/>
        <w:spacing w:before="0" w:after="0" w:line="584" w:lineRule="exact"/>
        <w:rPr>
          <w:rFonts w:ascii="Times New Roman" w:hAnsi="Times New Roman" w:eastAsia="黑体"/>
        </w:rPr>
      </w:pPr>
      <w:r>
        <w:rPr>
          <w:rFonts w:hint="eastAsia" w:ascii="Times New Roman" w:hAnsi="Times New Roman" w:eastAsia="黑体"/>
          <w:lang w:val="en-US" w:eastAsia="zh-CN"/>
        </w:rPr>
        <w:t xml:space="preserve">   </w:t>
      </w:r>
      <w:r>
        <w:rPr>
          <w:rFonts w:ascii="Times New Roman" w:hAnsi="Times New Roman" w:eastAsia="黑体"/>
        </w:rPr>
        <w:t>七、其他重要事项的说明</w:t>
      </w:r>
    </w:p>
    <w:p>
      <w:pPr>
        <w:pStyle w:val="4"/>
        <w:spacing w:before="0" w:after="0" w:line="584" w:lineRule="exact"/>
        <w:ind w:firstLine="643" w:firstLineChars="200"/>
        <w:rPr>
          <w:rFonts w:eastAsia="楷体_GB2312"/>
        </w:rPr>
      </w:pPr>
      <w:r>
        <w:rPr>
          <w:rFonts w:eastAsia="楷体_GB2312"/>
        </w:rPr>
        <w:t>（一）机关运行经费情况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本部门2017年度机关运行经费支出</w:t>
      </w:r>
      <w:r>
        <w:rPr>
          <w:rFonts w:hint="eastAsia" w:eastAsia="仿宋_GB2312"/>
          <w:sz w:val="32"/>
          <w:szCs w:val="32"/>
          <w:lang w:val="en-US" w:eastAsia="zh-CN"/>
        </w:rPr>
        <w:t>18.25</w:t>
      </w:r>
      <w:r>
        <w:rPr>
          <w:rFonts w:eastAsia="仿宋_GB2312"/>
          <w:sz w:val="32"/>
          <w:szCs w:val="32"/>
        </w:rPr>
        <w:t>万元，比2016年度减少</w:t>
      </w:r>
      <w:r>
        <w:rPr>
          <w:rFonts w:hint="eastAsia" w:eastAsia="仿宋_GB2312"/>
          <w:sz w:val="32"/>
          <w:szCs w:val="32"/>
          <w:lang w:val="en-US" w:eastAsia="zh-CN"/>
        </w:rPr>
        <w:t>8.45</w:t>
      </w:r>
      <w:r>
        <w:rPr>
          <w:rFonts w:eastAsia="仿宋_GB2312"/>
          <w:sz w:val="32"/>
          <w:szCs w:val="32"/>
        </w:rPr>
        <w:t>万元，降低</w:t>
      </w:r>
      <w:r>
        <w:rPr>
          <w:rFonts w:hint="eastAsia" w:eastAsia="仿宋_GB2312"/>
          <w:sz w:val="32"/>
          <w:szCs w:val="32"/>
          <w:lang w:val="en-US" w:eastAsia="zh-CN"/>
        </w:rPr>
        <w:t>31.65</w:t>
      </w:r>
      <w:r>
        <w:rPr>
          <w:rFonts w:eastAsia="仿宋_GB2312"/>
          <w:sz w:val="32"/>
          <w:szCs w:val="32"/>
        </w:rPr>
        <w:t>%。主要原因是</w:t>
      </w:r>
      <w:r>
        <w:rPr>
          <w:rFonts w:hint="eastAsia" w:ascii="Calibri" w:hAnsi="Calibri" w:eastAsia="仿宋_GB2312" w:cs="Times New Roman"/>
          <w:sz w:val="32"/>
          <w:szCs w:val="32"/>
        </w:rPr>
        <w:t>坚持厉行节约，反对浪费</w:t>
      </w:r>
      <w:r>
        <w:rPr>
          <w:rFonts w:hint="eastAsia" w:ascii="Calibri" w:hAnsi="Calibri" w:eastAsia="仿宋_GB2312" w:cs="Times New Roman"/>
          <w:sz w:val="32"/>
          <w:szCs w:val="32"/>
          <w:lang w:eastAsia="zh-CN"/>
        </w:rPr>
        <w:t>。</w:t>
      </w:r>
    </w:p>
    <w:p>
      <w:pPr>
        <w:pStyle w:val="4"/>
        <w:spacing w:before="0" w:after="0" w:line="584" w:lineRule="exact"/>
        <w:ind w:firstLine="643" w:firstLineChars="200"/>
        <w:rPr>
          <w:rFonts w:eastAsia="楷体_GB2312"/>
        </w:rPr>
      </w:pPr>
      <w:r>
        <w:rPr>
          <w:rFonts w:eastAsia="楷体_GB2312"/>
        </w:rPr>
        <w:t>（二）政府采购情况</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本部门2017年度政府采购支出总额</w:t>
      </w:r>
      <w:r>
        <w:rPr>
          <w:rFonts w:hint="eastAsia" w:eastAsia="仿宋_GB2312"/>
          <w:sz w:val="32"/>
          <w:szCs w:val="32"/>
          <w:lang w:val="en-US" w:eastAsia="zh-CN"/>
        </w:rPr>
        <w:t>0</w:t>
      </w:r>
      <w:r>
        <w:rPr>
          <w:rFonts w:eastAsia="仿宋_GB2312"/>
          <w:sz w:val="32"/>
          <w:szCs w:val="32"/>
        </w:rPr>
        <w:t>万元，其中：政府采购货物支出</w:t>
      </w:r>
      <w:r>
        <w:rPr>
          <w:rFonts w:hint="eastAsia" w:eastAsia="仿宋_GB2312"/>
          <w:sz w:val="32"/>
          <w:szCs w:val="32"/>
          <w:lang w:val="en-US" w:eastAsia="zh-CN"/>
        </w:rPr>
        <w:t>0</w:t>
      </w:r>
      <w:r>
        <w:rPr>
          <w:rFonts w:eastAsia="仿宋_GB2312"/>
          <w:sz w:val="32"/>
          <w:szCs w:val="32"/>
        </w:rPr>
        <w:t>万元、政府采购工程支出</w:t>
      </w:r>
      <w:r>
        <w:rPr>
          <w:rFonts w:hint="eastAsia" w:eastAsia="仿宋_GB2312"/>
          <w:sz w:val="32"/>
          <w:szCs w:val="32"/>
          <w:lang w:val="en-US" w:eastAsia="zh-CN"/>
        </w:rPr>
        <w:t>0</w:t>
      </w:r>
      <w:r>
        <w:rPr>
          <w:rFonts w:eastAsia="仿宋_GB2312"/>
          <w:sz w:val="32"/>
          <w:szCs w:val="32"/>
        </w:rPr>
        <w:t>万元、政府采购服务支出</w:t>
      </w:r>
      <w:r>
        <w:rPr>
          <w:rFonts w:hint="eastAsia" w:eastAsia="仿宋_GB2312"/>
          <w:sz w:val="32"/>
          <w:szCs w:val="32"/>
          <w:lang w:val="en-US" w:eastAsia="zh-CN"/>
        </w:rPr>
        <w:t>0</w:t>
      </w:r>
      <w:r>
        <w:rPr>
          <w:rFonts w:eastAsia="仿宋_GB2312"/>
          <w:sz w:val="32"/>
          <w:szCs w:val="32"/>
        </w:rPr>
        <w:t>万元。</w:t>
      </w:r>
    </w:p>
    <w:p>
      <w:pPr>
        <w:pStyle w:val="4"/>
        <w:spacing w:before="0" w:after="0" w:line="584" w:lineRule="exact"/>
        <w:ind w:firstLine="643" w:firstLineChars="200"/>
        <w:rPr>
          <w:rFonts w:eastAsia="楷体_GB2312"/>
        </w:rPr>
      </w:pPr>
      <w:r>
        <w:rPr>
          <w:rFonts w:eastAsia="楷体_GB2312"/>
        </w:rPr>
        <w:t>（三）国有资产占用情况</w:t>
      </w:r>
    </w:p>
    <w:p>
      <w:pPr>
        <w:rPr>
          <w:rFonts w:hint="default" w:eastAsia="仿宋_GB2312"/>
          <w:color w:val="FF0000"/>
          <w:sz w:val="32"/>
          <w:szCs w:val="32"/>
          <w:lang w:val="en-US" w:eastAsia="zh-CN"/>
        </w:rPr>
      </w:pPr>
      <w:r>
        <w:rPr>
          <w:rFonts w:eastAsia="仿宋_GB2312"/>
          <w:sz w:val="32"/>
          <w:szCs w:val="32"/>
        </w:rPr>
        <w:t>截至2017年12月31日，本部门共有车辆</w:t>
      </w:r>
      <w:r>
        <w:rPr>
          <w:rFonts w:hint="eastAsia" w:eastAsia="仿宋_GB2312"/>
          <w:sz w:val="32"/>
          <w:szCs w:val="32"/>
          <w:lang w:val="en-US" w:eastAsia="zh-CN"/>
        </w:rPr>
        <w:t>2</w:t>
      </w:r>
      <w:r>
        <w:rPr>
          <w:rFonts w:eastAsia="仿宋_GB2312"/>
          <w:sz w:val="32"/>
          <w:szCs w:val="32"/>
        </w:rPr>
        <w:t>辆，其中，市级领导干部用车</w:t>
      </w:r>
      <w:r>
        <w:rPr>
          <w:rFonts w:hint="eastAsia" w:eastAsia="仿宋_GB2312"/>
          <w:sz w:val="32"/>
          <w:szCs w:val="32"/>
          <w:lang w:val="en-US" w:eastAsia="zh-CN"/>
        </w:rPr>
        <w:t>0</w:t>
      </w:r>
      <w:r>
        <w:rPr>
          <w:rFonts w:eastAsia="仿宋_GB2312"/>
          <w:sz w:val="32"/>
          <w:szCs w:val="32"/>
        </w:rPr>
        <w:t>辆、一般公务用车</w:t>
      </w:r>
      <w:r>
        <w:rPr>
          <w:rFonts w:hint="eastAsia" w:eastAsia="仿宋_GB2312"/>
          <w:sz w:val="32"/>
          <w:szCs w:val="32"/>
          <w:lang w:val="en-US" w:eastAsia="zh-CN"/>
        </w:rPr>
        <w:t>2</w:t>
      </w:r>
      <w:r>
        <w:rPr>
          <w:rFonts w:eastAsia="仿宋_GB2312"/>
          <w:sz w:val="32"/>
          <w:szCs w:val="32"/>
        </w:rPr>
        <w:t>辆、一般执法执勤用车</w:t>
      </w:r>
      <w:r>
        <w:rPr>
          <w:rFonts w:hint="eastAsia" w:eastAsia="仿宋_GB2312"/>
          <w:sz w:val="32"/>
          <w:szCs w:val="32"/>
          <w:lang w:val="en-US" w:eastAsia="zh-CN"/>
        </w:rPr>
        <w:t>0</w:t>
      </w:r>
      <w:r>
        <w:rPr>
          <w:rFonts w:eastAsia="仿宋_GB2312"/>
          <w:sz w:val="32"/>
          <w:szCs w:val="32"/>
        </w:rPr>
        <w:t>辆、特种专业技术用车</w:t>
      </w:r>
      <w:r>
        <w:rPr>
          <w:rFonts w:hint="eastAsia" w:eastAsia="仿宋_GB2312"/>
          <w:sz w:val="32"/>
          <w:szCs w:val="32"/>
          <w:lang w:val="en-US" w:eastAsia="zh-CN"/>
        </w:rPr>
        <w:t>0</w:t>
      </w:r>
      <w:r>
        <w:rPr>
          <w:rFonts w:eastAsia="仿宋_GB2312"/>
          <w:sz w:val="32"/>
          <w:szCs w:val="32"/>
        </w:rPr>
        <w:t>辆、其他用车</w:t>
      </w:r>
      <w:r>
        <w:rPr>
          <w:rFonts w:hint="eastAsia" w:eastAsia="仿宋_GB2312"/>
          <w:sz w:val="32"/>
          <w:szCs w:val="32"/>
          <w:lang w:val="en-US" w:eastAsia="zh-CN"/>
        </w:rPr>
        <w:t>0</w:t>
      </w:r>
      <w:r>
        <w:rPr>
          <w:rFonts w:eastAsia="仿宋_GB2312"/>
          <w:sz w:val="32"/>
          <w:szCs w:val="32"/>
        </w:rPr>
        <w:t>辆，单位价值50万元以上大型设备</w:t>
      </w:r>
      <w:r>
        <w:rPr>
          <w:rFonts w:hint="eastAsia" w:eastAsia="仿宋_GB2312"/>
          <w:sz w:val="32"/>
          <w:szCs w:val="32"/>
          <w:lang w:val="en-US" w:eastAsia="zh-CN"/>
        </w:rPr>
        <w:t>0</w:t>
      </w:r>
      <w:r>
        <w:rPr>
          <w:rFonts w:eastAsia="仿宋_GB2312"/>
          <w:sz w:val="32"/>
          <w:szCs w:val="32"/>
        </w:rPr>
        <w:t>台（套），单位价值100万元以上大型设备</w:t>
      </w:r>
      <w:r>
        <w:rPr>
          <w:rFonts w:hint="eastAsia" w:eastAsia="仿宋_GB2312"/>
          <w:sz w:val="32"/>
          <w:szCs w:val="32"/>
          <w:lang w:val="en-US" w:eastAsia="zh-CN"/>
        </w:rPr>
        <w:t>0</w:t>
      </w:r>
      <w:r>
        <w:rPr>
          <w:rFonts w:eastAsia="仿宋_GB2312"/>
          <w:sz w:val="32"/>
          <w:szCs w:val="32"/>
        </w:rPr>
        <w:t>台（套）。</w:t>
      </w:r>
      <w:r>
        <w:rPr>
          <w:rFonts w:hint="eastAsia" w:eastAsia="仿宋_GB2312"/>
          <w:sz w:val="32"/>
          <w:szCs w:val="32"/>
        </w:rPr>
        <w:t xml:space="preserve">2017 年国有资产总额为 </w:t>
      </w:r>
      <w:r>
        <w:rPr>
          <w:rFonts w:hint="eastAsia" w:eastAsia="仿宋_GB2312"/>
          <w:sz w:val="32"/>
          <w:szCs w:val="32"/>
          <w:lang w:val="en-US" w:eastAsia="zh-CN"/>
        </w:rPr>
        <w:t>189.1643万元，</w:t>
      </w:r>
      <w:r>
        <w:rPr>
          <w:rFonts w:hint="eastAsia" w:eastAsia="仿宋_GB2312"/>
          <w:sz w:val="32"/>
          <w:szCs w:val="32"/>
        </w:rPr>
        <w:t xml:space="preserve"> 其中：</w:t>
      </w:r>
      <w:r>
        <w:rPr>
          <w:rFonts w:hint="eastAsia" w:eastAsia="仿宋_GB2312"/>
          <w:sz w:val="32"/>
          <w:szCs w:val="32"/>
          <w:lang w:eastAsia="zh-CN"/>
        </w:rPr>
        <w:t>流动资产</w:t>
      </w:r>
      <w:r>
        <w:rPr>
          <w:rFonts w:hint="eastAsia" w:eastAsia="仿宋_GB2312"/>
          <w:sz w:val="32"/>
          <w:szCs w:val="32"/>
          <w:lang w:val="en-US" w:eastAsia="zh-CN"/>
        </w:rPr>
        <w:t>85.2万元，</w:t>
      </w:r>
      <w:r>
        <w:rPr>
          <w:rFonts w:hint="eastAsia" w:eastAsia="仿宋_GB2312"/>
          <w:sz w:val="32"/>
          <w:szCs w:val="32"/>
        </w:rPr>
        <w:t xml:space="preserve">占国有资产总额的 </w:t>
      </w:r>
      <w:r>
        <w:rPr>
          <w:rFonts w:hint="eastAsia" w:eastAsia="仿宋_GB2312"/>
          <w:sz w:val="32"/>
          <w:szCs w:val="32"/>
          <w:lang w:val="en-US" w:eastAsia="zh-CN"/>
        </w:rPr>
        <w:t>45.04</w:t>
      </w:r>
      <w:r>
        <w:rPr>
          <w:rFonts w:hint="eastAsia" w:eastAsia="仿宋_GB2312"/>
          <w:sz w:val="32"/>
          <w:szCs w:val="32"/>
        </w:rPr>
        <w:t xml:space="preserve">%；车辆 </w:t>
      </w:r>
      <w:r>
        <w:rPr>
          <w:rFonts w:hint="eastAsia" w:eastAsia="仿宋_GB2312"/>
          <w:sz w:val="32"/>
          <w:szCs w:val="32"/>
          <w:lang w:val="en-US" w:eastAsia="zh-CN"/>
        </w:rPr>
        <w:t>1</w:t>
      </w:r>
      <w:r>
        <w:rPr>
          <w:rFonts w:hint="eastAsia" w:eastAsia="仿宋_GB2312"/>
          <w:sz w:val="32"/>
          <w:szCs w:val="32"/>
        </w:rPr>
        <w:t xml:space="preserve"> 台 </w:t>
      </w:r>
      <w:r>
        <w:rPr>
          <w:rFonts w:hint="eastAsia" w:eastAsia="仿宋_GB2312"/>
          <w:sz w:val="32"/>
          <w:szCs w:val="32"/>
          <w:lang w:val="en-US" w:eastAsia="zh-CN"/>
        </w:rPr>
        <w:t>25.69</w:t>
      </w:r>
      <w:r>
        <w:rPr>
          <w:rFonts w:hint="eastAsia" w:eastAsia="仿宋_GB2312"/>
          <w:sz w:val="32"/>
          <w:szCs w:val="32"/>
        </w:rPr>
        <w:t xml:space="preserve"> 万元，占国有资产总额的 </w:t>
      </w:r>
      <w:r>
        <w:rPr>
          <w:rFonts w:hint="eastAsia" w:eastAsia="仿宋_GB2312"/>
          <w:sz w:val="32"/>
          <w:szCs w:val="32"/>
          <w:lang w:val="en-US" w:eastAsia="zh-CN"/>
        </w:rPr>
        <w:t>13.58</w:t>
      </w:r>
      <w:r>
        <w:rPr>
          <w:rFonts w:hint="eastAsia" w:eastAsia="仿宋_GB2312"/>
          <w:sz w:val="32"/>
          <w:szCs w:val="32"/>
        </w:rPr>
        <w:t>%；</w:t>
      </w:r>
      <w:r>
        <w:rPr>
          <w:rFonts w:hint="eastAsia" w:eastAsia="仿宋_GB2312"/>
          <w:sz w:val="32"/>
          <w:szCs w:val="32"/>
          <w:lang w:eastAsia="zh-CN"/>
        </w:rPr>
        <w:t>其他固定</w:t>
      </w:r>
      <w:r>
        <w:rPr>
          <w:rFonts w:hint="eastAsia" w:eastAsia="仿宋_GB2312"/>
          <w:sz w:val="32"/>
          <w:szCs w:val="32"/>
        </w:rPr>
        <w:t xml:space="preserve">资产 </w:t>
      </w:r>
      <w:r>
        <w:rPr>
          <w:rFonts w:hint="eastAsia" w:eastAsia="仿宋_GB2312"/>
          <w:sz w:val="32"/>
          <w:szCs w:val="32"/>
          <w:lang w:val="en-US" w:eastAsia="zh-CN"/>
        </w:rPr>
        <w:t>78.2743</w:t>
      </w:r>
      <w:r>
        <w:rPr>
          <w:rFonts w:hint="eastAsia" w:eastAsia="仿宋_GB2312"/>
          <w:sz w:val="32"/>
          <w:szCs w:val="32"/>
        </w:rPr>
        <w:t xml:space="preserve"> 万元，占国有资产总额的</w:t>
      </w:r>
      <w:r>
        <w:rPr>
          <w:rFonts w:hint="eastAsia" w:eastAsia="仿宋_GB2312"/>
          <w:sz w:val="32"/>
          <w:szCs w:val="32"/>
          <w:lang w:val="en-US" w:eastAsia="zh-CN"/>
        </w:rPr>
        <w:t>41.38</w:t>
      </w:r>
      <w:r>
        <w:rPr>
          <w:rFonts w:hint="eastAsia" w:eastAsia="仿宋_GB2312"/>
          <w:sz w:val="32"/>
          <w:szCs w:val="32"/>
        </w:rPr>
        <w:t>%</w:t>
      </w:r>
      <w:r>
        <w:rPr>
          <w:rFonts w:hint="eastAsia" w:eastAsia="仿宋_GB2312"/>
          <w:sz w:val="32"/>
          <w:szCs w:val="32"/>
          <w:lang w:eastAsia="zh-CN"/>
        </w:rPr>
        <w:t>。</w:t>
      </w:r>
      <w:r>
        <w:rPr>
          <w:rFonts w:hint="eastAsia" w:eastAsia="仿宋_GB2312"/>
          <w:color w:val="FF0000"/>
          <w:sz w:val="32"/>
          <w:szCs w:val="32"/>
          <w:lang w:eastAsia="zh-CN"/>
        </w:rPr>
        <w:t>本年比上年相比减少</w:t>
      </w:r>
      <w:r>
        <w:rPr>
          <w:rFonts w:hint="eastAsia" w:eastAsia="仿宋_GB2312"/>
          <w:color w:val="FF0000"/>
          <w:sz w:val="32"/>
          <w:szCs w:val="32"/>
          <w:lang w:val="en-US" w:eastAsia="zh-CN"/>
        </w:rPr>
        <w:t>121.8万元，主要是流动资产减少。</w:t>
      </w:r>
    </w:p>
    <w:p>
      <w:pPr>
        <w:pStyle w:val="4"/>
        <w:spacing w:before="0" w:after="0" w:line="584" w:lineRule="exact"/>
        <w:rPr>
          <w:rFonts w:eastAsia="楷体_GB2312"/>
        </w:rPr>
      </w:pPr>
      <w:r>
        <w:rPr>
          <w:rFonts w:hint="eastAsia" w:eastAsia="楷体_GB2312"/>
          <w:lang w:eastAsia="zh-CN"/>
        </w:rPr>
        <w:t>　</w:t>
      </w:r>
      <w:r>
        <w:rPr>
          <w:rFonts w:eastAsia="楷体_GB2312"/>
        </w:rPr>
        <w:t>（四）其他需要说明的情况</w:t>
      </w:r>
    </w:p>
    <w:p>
      <w:pPr>
        <w:adjustRightInd w:val="0"/>
        <w:snapToGrid w:val="0"/>
        <w:spacing w:line="584" w:lineRule="exact"/>
        <w:ind w:firstLine="640" w:firstLineChars="200"/>
        <w:rPr>
          <w:rFonts w:eastAsia="仿宋_GB2312"/>
          <w:sz w:val="32"/>
          <w:szCs w:val="32"/>
        </w:rPr>
      </w:pPr>
      <w:r>
        <w:rPr>
          <w:rFonts w:eastAsia="仿宋_GB2312"/>
          <w:sz w:val="32"/>
          <w:szCs w:val="32"/>
        </w:rPr>
        <w:t>1、本部门2017年度</w:t>
      </w:r>
      <w:r>
        <w:rPr>
          <w:rFonts w:hint="eastAsia" w:eastAsia="仿宋_GB2312"/>
          <w:sz w:val="32"/>
          <w:szCs w:val="32"/>
          <w:lang w:eastAsia="zh-CN"/>
        </w:rPr>
        <w:t>政府性基金、国有资本经营</w:t>
      </w:r>
      <w:r>
        <w:rPr>
          <w:rFonts w:eastAsia="仿宋_GB2312"/>
          <w:sz w:val="32"/>
          <w:szCs w:val="32"/>
        </w:rPr>
        <w:t>无收支及结转结余情况，故</w:t>
      </w:r>
      <w:r>
        <w:rPr>
          <w:rFonts w:hint="eastAsia" w:eastAsia="仿宋_GB2312"/>
          <w:sz w:val="32"/>
          <w:szCs w:val="32"/>
          <w:lang w:eastAsia="zh-CN"/>
        </w:rPr>
        <w:t>政府性基金预算财政拨款收入支出决算批复表、国有资本经营预算财政拨款收入支出决算</w:t>
      </w:r>
      <w:r>
        <w:rPr>
          <w:rFonts w:eastAsia="仿宋_GB2312"/>
          <w:sz w:val="32"/>
          <w:szCs w:val="32"/>
        </w:rPr>
        <w:t>表以空表列示。</w:t>
      </w:r>
    </w:p>
    <w:p>
      <w:pPr>
        <w:adjustRightInd w:val="0"/>
        <w:snapToGrid w:val="0"/>
        <w:spacing w:line="584" w:lineRule="exact"/>
        <w:ind w:firstLine="640" w:firstLineChars="200"/>
        <w:rPr>
          <w:rFonts w:eastAsia="仿宋_GB2312"/>
          <w:sz w:val="32"/>
          <w:szCs w:val="32"/>
        </w:rPr>
      </w:pPr>
      <w:r>
        <w:rPr>
          <w:rFonts w:eastAsia="仿宋_GB2312"/>
          <w:sz w:val="32"/>
          <w:szCs w:val="32"/>
        </w:rPr>
        <w:t>2、由于决算公开表格中金额数值应当保留两位小数，公开数据为四舍五入计算结果，个别数据合计项与分项之和存在小数点后差额，特此说明。</w:t>
      </w:r>
      <w:r>
        <w:rPr>
          <w:rFonts w:eastAsia="仿宋_GB2312"/>
          <w:sz w:val="32"/>
          <w:szCs w:val="32"/>
        </w:rPr>
        <w:br w:type="textWrapping"/>
      </w:r>
    </w:p>
    <w:p>
      <w:pPr>
        <w:adjustRightInd w:val="0"/>
        <w:snapToGrid w:val="0"/>
        <w:spacing w:line="584" w:lineRule="exact"/>
        <w:ind w:firstLine="640" w:firstLineChars="200"/>
        <w:rPr>
          <w:rFonts w:eastAsia="仿宋_GB2312"/>
          <w:sz w:val="32"/>
          <w:szCs w:val="32"/>
        </w:rPr>
      </w:pPr>
    </w:p>
    <w:p>
      <w:pPr>
        <w:pStyle w:val="2"/>
        <w:spacing w:before="0" w:after="0" w:line="584" w:lineRule="exact"/>
        <w:jc w:val="center"/>
      </w:pPr>
      <w:r>
        <w:t>第四部分名词解释</w:t>
      </w:r>
    </w:p>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spacing w:line="584"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r>
        <w:rPr>
          <w:rFonts w:eastAsia="仿宋_GB2312"/>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D3A6E2"/>
    <w:multiLevelType w:val="singleLevel"/>
    <w:tmpl w:val="B1D3A6E2"/>
    <w:lvl w:ilvl="0" w:tentative="0">
      <w:start w:val="2"/>
      <w:numFmt w:val="chineseCounting"/>
      <w:suff w:val="space"/>
      <w:lvlText w:val="第%1部分"/>
      <w:lvlJc w:val="left"/>
      <w:rPr>
        <w:rFonts w:hint="eastAsia"/>
      </w:rPr>
    </w:lvl>
  </w:abstractNum>
  <w:abstractNum w:abstractNumId="1">
    <w:nsid w:val="37633A11"/>
    <w:multiLevelType w:val="singleLevel"/>
    <w:tmpl w:val="37633A11"/>
    <w:lvl w:ilvl="0" w:tentative="0">
      <w:start w:val="2"/>
      <w:numFmt w:val="chineseCounting"/>
      <w:suff w:val="nothing"/>
      <w:lvlText w:val="（%1）"/>
      <w:lvlJc w:val="left"/>
      <w:rPr>
        <w:rFonts w:hint="eastAsia"/>
      </w:rPr>
    </w:lvl>
  </w:abstractNum>
  <w:abstractNum w:abstractNumId="2">
    <w:nsid w:val="59F7CEA0"/>
    <w:multiLevelType w:val="singleLevel"/>
    <w:tmpl w:val="59F7CEA0"/>
    <w:lvl w:ilvl="0" w:tentative="0">
      <w:start w:val="1"/>
      <w:numFmt w:val="decimal"/>
      <w:suff w:val="nothing"/>
      <w:lvlText w:val="%1、"/>
      <w:lvlJc w:val="left"/>
    </w:lvl>
  </w:abstractNum>
  <w:abstractNum w:abstractNumId="3">
    <w:nsid w:val="5BEC14EB"/>
    <w:multiLevelType w:val="singleLevel"/>
    <w:tmpl w:val="5BEC14EB"/>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75850"/>
    <w:rsid w:val="00085768"/>
    <w:rsid w:val="00143EFE"/>
    <w:rsid w:val="00637E7F"/>
    <w:rsid w:val="00A33F82"/>
    <w:rsid w:val="059054BA"/>
    <w:rsid w:val="061840CC"/>
    <w:rsid w:val="07383158"/>
    <w:rsid w:val="085B69A7"/>
    <w:rsid w:val="0B5F378D"/>
    <w:rsid w:val="16CE449C"/>
    <w:rsid w:val="1944696C"/>
    <w:rsid w:val="22AE2927"/>
    <w:rsid w:val="23673513"/>
    <w:rsid w:val="285670A8"/>
    <w:rsid w:val="311E1A58"/>
    <w:rsid w:val="31680E76"/>
    <w:rsid w:val="31F33F7E"/>
    <w:rsid w:val="32014CAC"/>
    <w:rsid w:val="3AE3074B"/>
    <w:rsid w:val="3C953B8E"/>
    <w:rsid w:val="42952B27"/>
    <w:rsid w:val="43DD3CC2"/>
    <w:rsid w:val="448470F9"/>
    <w:rsid w:val="44ED7418"/>
    <w:rsid w:val="46077378"/>
    <w:rsid w:val="48CC5A79"/>
    <w:rsid w:val="4C925543"/>
    <w:rsid w:val="4CE46BA7"/>
    <w:rsid w:val="57E459E9"/>
    <w:rsid w:val="5A3A3DAB"/>
    <w:rsid w:val="62234AA7"/>
    <w:rsid w:val="6A19558A"/>
    <w:rsid w:val="6B7B286A"/>
    <w:rsid w:val="6F2A5946"/>
    <w:rsid w:val="6FB75D85"/>
    <w:rsid w:val="731E6677"/>
    <w:rsid w:val="74666BD0"/>
    <w:rsid w:val="7981176E"/>
    <w:rsid w:val="79946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1"/>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rFonts w:ascii="Times New Roman" w:hAnsi="Times New Roman" w:eastAsia="宋体" w:cs="Times New Roman"/>
      <w:b/>
      <w:bCs/>
      <w:kern w:val="44"/>
      <w:sz w:val="44"/>
      <w:szCs w:val="44"/>
    </w:rPr>
  </w:style>
  <w:style w:type="character" w:customStyle="1" w:styleId="10">
    <w:name w:val="标题 2 Char"/>
    <w:basedOn w:val="8"/>
    <w:link w:val="3"/>
    <w:qFormat/>
    <w:uiPriority w:val="9"/>
    <w:rPr>
      <w:rFonts w:ascii="Cambria" w:hAnsi="Cambria" w:eastAsia="宋体" w:cs="Times New Roman"/>
      <w:b/>
      <w:bCs/>
      <w:sz w:val="32"/>
      <w:szCs w:val="32"/>
    </w:rPr>
  </w:style>
  <w:style w:type="character" w:customStyle="1" w:styleId="11">
    <w:name w:val="标题 3 Char"/>
    <w:basedOn w:val="8"/>
    <w:link w:val="4"/>
    <w:qFormat/>
    <w:uiPriority w:val="9"/>
    <w:rPr>
      <w:rFonts w:ascii="Times New Roman" w:hAnsi="Times New Roman" w:eastAsia="宋体" w:cs="Times New Roman"/>
      <w:b/>
      <w:bCs/>
      <w:sz w:val="32"/>
      <w:szCs w:val="32"/>
    </w:rPr>
  </w:style>
  <w:style w:type="character" w:customStyle="1" w:styleId="12">
    <w:name w:val="页脚 Char"/>
    <w:basedOn w:val="8"/>
    <w:link w:val="5"/>
    <w:qFormat/>
    <w:uiPriority w:val="99"/>
    <w:rPr>
      <w:rFonts w:ascii="Times New Roman" w:hAnsi="Times New Roman" w:eastAsia="宋体" w:cs="Times New Roman"/>
      <w:sz w:val="18"/>
      <w:szCs w:val="18"/>
    </w:rPr>
  </w:style>
  <w:style w:type="character" w:customStyle="1" w:styleId="13">
    <w:name w:val="页眉 Char"/>
    <w:basedOn w:val="8"/>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9"/>
    <customShpInfo spid="_x0000_s1029"/>
    <customShpInfo spid="_x0000_s1050"/>
    <customShpInfo spid="_x0000_s1044"/>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763</Words>
  <Characters>4350</Characters>
  <Lines>36</Lines>
  <Paragraphs>10</Paragraphs>
  <TotalTime>14</TotalTime>
  <ScaleCrop>false</ScaleCrop>
  <LinksUpToDate>false</LinksUpToDate>
  <CharactersWithSpaces>5103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2018-10-25T02:08:00Z</dcterms:created>
  <dc:creator>刘华吉</dc:creator>
  <cp:lastModifiedBy>董小姐</cp:lastModifiedBy>
  <cp:lastPrinted>2018-11-12T07:39:00Z</cp:lastPrinted>
  <dcterms:modified xsi:type="dcterms:W3CDTF">2019-03-02T06:32:15Z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