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6" w:rsidRDefault="00C14A6C">
      <w:pPr>
        <w:widowControl/>
        <w:spacing w:before="167" w:line="700" w:lineRule="exact"/>
        <w:jc w:val="center"/>
        <w:rPr>
          <w:rFonts w:ascii="Verdana" w:hAnsi="Verdana"/>
          <w:bCs/>
          <w:sz w:val="72"/>
          <w:szCs w:val="72"/>
        </w:rPr>
      </w:pPr>
      <w:r>
        <w:rPr>
          <w:rFonts w:ascii="Verdana" w:hAnsi="Verdana" w:hint="eastAsia"/>
          <w:bCs/>
          <w:sz w:val="72"/>
          <w:szCs w:val="72"/>
        </w:rPr>
        <w:t>中共河北省大城县委政法委员会</w:t>
      </w:r>
    </w:p>
    <w:p w:rsidR="00000CB6" w:rsidRDefault="00C14A6C">
      <w:pPr>
        <w:widowControl/>
        <w:spacing w:before="167" w:line="700" w:lineRule="exact"/>
        <w:jc w:val="center"/>
        <w:rPr>
          <w:rFonts w:ascii="Verdana" w:hAnsi="Verdana"/>
          <w:bCs/>
          <w:sz w:val="72"/>
          <w:szCs w:val="72"/>
        </w:rPr>
      </w:pPr>
      <w:r>
        <w:rPr>
          <w:rFonts w:ascii="Verdana" w:hAnsi="Verdana"/>
          <w:bCs/>
          <w:sz w:val="72"/>
          <w:szCs w:val="72"/>
        </w:rPr>
        <w:t>201</w:t>
      </w:r>
      <w:r>
        <w:rPr>
          <w:rFonts w:ascii="Verdana" w:hAnsi="Verdana" w:hint="eastAsia"/>
          <w:bCs/>
          <w:sz w:val="72"/>
          <w:szCs w:val="72"/>
        </w:rPr>
        <w:t>7</w:t>
      </w:r>
      <w:r>
        <w:rPr>
          <w:rFonts w:ascii="Verdana" w:hAnsi="Verdana"/>
          <w:bCs/>
          <w:sz w:val="72"/>
          <w:szCs w:val="72"/>
        </w:rPr>
        <w:t>年决算公开</w:t>
      </w:r>
    </w:p>
    <w:p w:rsidR="00000CB6" w:rsidRDefault="00000CB6">
      <w:pPr>
        <w:widowControl/>
        <w:spacing w:before="167" w:line="700" w:lineRule="exact"/>
        <w:jc w:val="center"/>
        <w:rPr>
          <w:rFonts w:ascii="Verdana" w:eastAsia="宋体" w:hAnsi="Verdana" w:cs="宋体"/>
          <w:kern w:val="0"/>
          <w:sz w:val="44"/>
          <w:szCs w:val="44"/>
        </w:rPr>
      </w:pPr>
    </w:p>
    <w:p w:rsidR="00000CB6" w:rsidRDefault="00C14A6C">
      <w:pPr>
        <w:widowControl/>
        <w:spacing w:before="167" w:line="700" w:lineRule="exact"/>
        <w:jc w:val="center"/>
        <w:rPr>
          <w:rFonts w:ascii="Verdana" w:eastAsia="宋体" w:hAnsi="Verdana" w:cs="宋体"/>
          <w:color w:val="484747"/>
          <w:kern w:val="0"/>
          <w:sz w:val="44"/>
          <w:szCs w:val="44"/>
        </w:rPr>
      </w:pPr>
      <w:r>
        <w:rPr>
          <w:rFonts w:ascii="Verdana" w:eastAsia="宋体" w:hAnsi="Verdana" w:cs="宋体"/>
          <w:color w:val="484747"/>
          <w:kern w:val="0"/>
          <w:sz w:val="44"/>
          <w:szCs w:val="44"/>
        </w:rPr>
        <w:t>部门决算公开目录</w:t>
      </w:r>
    </w:p>
    <w:p w:rsidR="00000CB6" w:rsidRDefault="00000CB6">
      <w:pPr>
        <w:widowControl/>
        <w:spacing w:before="167" w:line="700" w:lineRule="exact"/>
        <w:ind w:firstLineChars="200" w:firstLine="360"/>
        <w:jc w:val="left"/>
        <w:rPr>
          <w:rFonts w:ascii="黑体" w:eastAsia="黑体" w:hAnsi="黑体" w:cs="宋体"/>
          <w:color w:val="484747"/>
          <w:kern w:val="0"/>
          <w:sz w:val="18"/>
          <w:szCs w:val="18"/>
        </w:rPr>
      </w:pP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中共河北省大城县委政法委员会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概况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（一）部门职责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（二）机构设置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二、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中共河北省大城县委政法委员会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7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年度部门决算报表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（一）收入支出决算总表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lastRenderedPageBreak/>
        <w:t>（二）收入决算表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（三）支出决算表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（四）财政拨款收入支出决算总表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（五）一般公共预算财政拨款支出决算表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（六）一般公共预算财政拨款基本支出决算表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（七）政府性基金预算财政拨款收入支出决算表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（八）国有资本经营预算财政拨款支出决算表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（九）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三公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经费及相关信息统计表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（十）政府采购情况表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三、</w:t>
      </w:r>
      <w:r>
        <w:rPr>
          <w:rFonts w:ascii="Verdana" w:eastAsia="黑体" w:hAnsi="Verdana" w:cs="宋体"/>
          <w:color w:val="484747"/>
          <w:kern w:val="0"/>
          <w:sz w:val="32"/>
          <w:szCs w:val="32"/>
        </w:rPr>
        <w:t> 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中共河北省大城县委政法委员会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7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年度部门决算情况说明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lastRenderedPageBreak/>
        <w:t>（一）收入支出决算总体情况说明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（二）收入决算情况说明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（三）支出决算情况说明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（四）财政拨款收入支出决算总体情况说明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（五）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三公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经费支出决算情况说明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（六）机关运行经费的支出情况的说明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（七）绩效预算信息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（八）政府采购情况的说明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（九）国有资产信息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（十）其他需要说明的情况（</w:t>
      </w:r>
      <w:r>
        <w:rPr>
          <w:rFonts w:ascii="仿宋" w:eastAsia="仿宋" w:hAnsi="仿宋" w:cs="宋体"/>
          <w:color w:val="3E3E3E"/>
          <w:kern w:val="0"/>
          <w:sz w:val="32"/>
          <w:szCs w:val="32"/>
        </w:rPr>
        <w:t>没有注明：无其他需要说明的情况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）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lastRenderedPageBreak/>
        <w:t>四、名词解释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对专业性较强的名词进行解释（比如：一般公共预算财政拨款收入、事业收入、基本支出、项目支出等）</w:t>
      </w: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000CB6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</w:p>
    <w:p w:rsidR="00000CB6" w:rsidRDefault="00C14A6C">
      <w:pPr>
        <w:widowControl/>
        <w:spacing w:before="167" w:line="700" w:lineRule="exact"/>
        <w:ind w:firstLine="600"/>
        <w:jc w:val="center"/>
        <w:rPr>
          <w:rFonts w:asciiTheme="majorEastAsia" w:eastAsiaTheme="majorEastAsia" w:hAnsiTheme="majorEastAsia" w:cs="宋体"/>
          <w:color w:val="484747"/>
          <w:kern w:val="0"/>
          <w:sz w:val="44"/>
          <w:szCs w:val="44"/>
        </w:rPr>
      </w:pPr>
      <w:r>
        <w:rPr>
          <w:rFonts w:asciiTheme="majorEastAsia" w:eastAsiaTheme="majorEastAsia" w:hAnsiTheme="majorEastAsia" w:cs="宋体"/>
          <w:color w:val="484747"/>
          <w:kern w:val="0"/>
          <w:sz w:val="44"/>
          <w:szCs w:val="44"/>
        </w:rPr>
        <w:lastRenderedPageBreak/>
        <w:t>文字部分</w:t>
      </w:r>
    </w:p>
    <w:p w:rsidR="00000CB6" w:rsidRDefault="00C14A6C">
      <w:pPr>
        <w:widowControl/>
        <w:spacing w:before="167"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按照《预算法》、《河北省财政厅关于印发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&lt;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河北省预决算公开操作规程实施细则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&gt;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的通知》（冀财预﹝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2016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﹞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129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号）等规定，现将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年部门决算公开如下：</w:t>
      </w:r>
    </w:p>
    <w:p w:rsidR="00000CB6" w:rsidRDefault="00C14A6C">
      <w:pPr>
        <w:spacing w:line="7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中共河北省大城县委政法委员会</w:t>
      </w:r>
      <w:r>
        <w:rPr>
          <w:rFonts w:ascii="黑体" w:eastAsia="黑体" w:hAnsi="黑体" w:cs="Times New Roman"/>
          <w:sz w:val="32"/>
          <w:szCs w:val="32"/>
        </w:rPr>
        <w:t>部门概况</w:t>
      </w:r>
    </w:p>
    <w:p w:rsidR="00000CB6" w:rsidRDefault="00C14A6C">
      <w:pPr>
        <w:spacing w:line="70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部门职责：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（一）全面推进司法体制和司法权力运行机制改革，切实解决影响司法公正、制约司法能力的深层次问题，加快建设公正高效权威的社会主义司法制度。</w:t>
      </w:r>
    </w:p>
    <w:p w:rsidR="00000CB6" w:rsidRDefault="00C14A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（二）扎实做好维稳反恐工作，强化重点管控，推进打黑除恶专项斗争，加强矛盾纠纷排查化解，坚决维护国家安全和大城县社会大局稳定。</w:t>
      </w:r>
    </w:p>
    <w:p w:rsidR="00000CB6" w:rsidRDefault="00C14A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（三）以促进社会和谐为根本要求，以维护大城县社会治安稳定工作为重点，全面履行职能，提高平安建设水平，为大城县经济社会又好又快发展创造良好环境。</w:t>
      </w:r>
    </w:p>
    <w:p w:rsidR="00000CB6" w:rsidRDefault="00C14A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（四）扎实推进政法系统党风廉政建设和反腐败斗争，严惩司法腐败，开展专项整治，落实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“两个责任”，把从严治党八项要求贯彻落实到政法系统党的建设全过程。</w:t>
      </w:r>
    </w:p>
    <w:p w:rsidR="00000CB6" w:rsidRDefault="00C14A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全面推涉法涉诉进信访改革。创新群众工作方法，切实解决入口不顺、程序空转和突出信访问题。高度重视和有效应对党委、政府门前聚众上访和重要场所游行集会问题，严防酿成群体性事件，及时就地解决群众合理诉求，依法终结涉法涉诉信</w:t>
      </w:r>
      <w:r>
        <w:rPr>
          <w:rFonts w:ascii="仿宋" w:eastAsia="仿宋" w:hAnsi="仿宋" w:cs="仿宋_GB2312" w:hint="eastAsia"/>
          <w:sz w:val="32"/>
          <w:szCs w:val="32"/>
        </w:rPr>
        <w:t>访案件。进一步健全涉法涉诉信访工作机制，减少信访存量、控制涉法涉诉信访增量、降低进京非正常访比率。</w:t>
      </w:r>
    </w:p>
    <w:p w:rsidR="00000CB6" w:rsidRDefault="00C14A6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力争实现“七个确保”：即确保刑事案件发案率下降，确保不发生重大治安灾害事故，确保不发生影响稳定的群体性事件，确保安全保卫工作万无一失，确保不发生影响恶劣的敌对势力捣乱破坏案件，确保无重大办案责任事故，确保不发生影响恶劣的干警违法违纪案件。</w:t>
      </w:r>
    </w:p>
    <w:p w:rsidR="00000CB6" w:rsidRDefault="00C14A6C">
      <w:pPr>
        <w:spacing w:line="700" w:lineRule="exact"/>
        <w:ind w:firstLineChars="200" w:firstLine="632"/>
        <w:rPr>
          <w:rFonts w:ascii="仿宋" w:eastAsia="仿宋" w:hAnsi="仿宋" w:cs="仿宋_GB2312"/>
          <w:b/>
          <w:spacing w:val="-2"/>
          <w:sz w:val="32"/>
          <w:szCs w:val="32"/>
          <w:highlight w:val="red"/>
        </w:rPr>
      </w:pPr>
      <w:r>
        <w:rPr>
          <w:rFonts w:ascii="仿宋" w:eastAsia="仿宋" w:hAnsi="仿宋" w:cs="仿宋_GB2312" w:hint="eastAsia"/>
          <w:spacing w:val="-2"/>
          <w:sz w:val="32"/>
          <w:szCs w:val="32"/>
        </w:rPr>
        <w:t>（七）</w:t>
      </w:r>
      <w:r>
        <w:rPr>
          <w:rFonts w:ascii="仿宋" w:eastAsia="仿宋" w:hAnsi="仿宋" w:cs="仿宋_GB2312"/>
          <w:spacing w:val="-2"/>
          <w:sz w:val="32"/>
          <w:szCs w:val="32"/>
        </w:rPr>
        <w:t>深入学习贯彻党的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十八届五中全会</w:t>
      </w:r>
      <w:r>
        <w:rPr>
          <w:rFonts w:ascii="仿宋" w:eastAsia="仿宋" w:hAnsi="仿宋" w:cs="仿宋_GB2312"/>
          <w:spacing w:val="-2"/>
          <w:sz w:val="32"/>
          <w:szCs w:val="32"/>
        </w:rPr>
        <w:t>和习近平总书记的重要指示精神，紧紧围绕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全面推进依法治国</w:t>
      </w:r>
      <w:r>
        <w:rPr>
          <w:rFonts w:ascii="仿宋" w:eastAsia="仿宋" w:hAnsi="仿宋" w:cs="仿宋_GB2312"/>
          <w:spacing w:val="-2"/>
          <w:sz w:val="32"/>
          <w:szCs w:val="32"/>
        </w:rPr>
        <w:t>奋斗目标，牢牢把握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系统推进、重点突破的路线图</w:t>
      </w:r>
      <w:r>
        <w:rPr>
          <w:rFonts w:ascii="仿宋" w:eastAsia="仿宋" w:hAnsi="仿宋" w:cs="仿宋_GB2312"/>
          <w:spacing w:val="-2"/>
          <w:sz w:val="32"/>
          <w:szCs w:val="32"/>
        </w:rPr>
        <w:t>，顺应人民群众的新期待，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总结借鉴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司法改革的工作经验，处理好整体推进和重点突破、全局和局部、胆子要大和步子要稳等关系，着力提高操作能力和执行力，确保中央全面推进依法治国的决策部署不折不扣地得到落实</w:t>
      </w:r>
      <w:r>
        <w:rPr>
          <w:rFonts w:ascii="仿宋" w:eastAsia="仿宋" w:hAnsi="仿宋" w:cs="仿宋_GB2312"/>
          <w:spacing w:val="-2"/>
          <w:sz w:val="32"/>
          <w:szCs w:val="32"/>
        </w:rPr>
        <w:t>，为建设文明开放、富裕和谐</w:t>
      </w:r>
      <w:r>
        <w:rPr>
          <w:rFonts w:ascii="仿宋" w:eastAsia="仿宋" w:hAnsi="仿宋" w:cs="仿宋_GB2312" w:hint="eastAsia"/>
          <w:spacing w:val="-2"/>
          <w:sz w:val="32"/>
          <w:szCs w:val="32"/>
        </w:rPr>
        <w:t>大城</w:t>
      </w:r>
      <w:r>
        <w:rPr>
          <w:rFonts w:ascii="仿宋" w:eastAsia="仿宋" w:hAnsi="仿宋" w:cs="仿宋_GB2312"/>
          <w:spacing w:val="-2"/>
          <w:sz w:val="32"/>
          <w:szCs w:val="32"/>
        </w:rPr>
        <w:t>创造安全稳定的社会环境、公平正义的法治环境和优质高效的服务环境。</w:t>
      </w:r>
    </w:p>
    <w:p w:rsidR="00000CB6" w:rsidRDefault="00C14A6C">
      <w:pPr>
        <w:spacing w:line="7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机构设置</w:t>
      </w:r>
    </w:p>
    <w:p w:rsidR="00000CB6" w:rsidRDefault="00C14A6C">
      <w:pPr>
        <w:spacing w:line="64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部门</w:t>
      </w:r>
      <w:r>
        <w:rPr>
          <w:rFonts w:ascii="仿宋" w:eastAsia="仿宋" w:hAnsi="仿宋" w:cs="Times New Roman" w:hint="eastAsia"/>
          <w:sz w:val="32"/>
          <w:szCs w:val="32"/>
        </w:rPr>
        <w:t>机构设置情况</w:t>
      </w:r>
    </w:p>
    <w:tbl>
      <w:tblPr>
        <w:tblW w:w="10155" w:type="dxa"/>
        <w:jc w:val="center"/>
        <w:tblInd w:w="-10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843"/>
        <w:gridCol w:w="1134"/>
        <w:gridCol w:w="1820"/>
        <w:gridCol w:w="2358"/>
      </w:tblGrid>
      <w:tr w:rsidR="00000CB6">
        <w:trPr>
          <w:trHeight w:val="640"/>
          <w:tblHeader/>
          <w:jc w:val="center"/>
        </w:trPr>
        <w:tc>
          <w:tcPr>
            <w:tcW w:w="4843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单位性质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单位规格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sz w:val="32"/>
                <w:szCs w:val="32"/>
              </w:rPr>
              <w:t>经费保障形式</w:t>
            </w:r>
          </w:p>
        </w:tc>
      </w:tr>
      <w:tr w:rsidR="00000CB6">
        <w:trPr>
          <w:trHeight w:val="640"/>
          <w:tblHeader/>
          <w:jc w:val="center"/>
        </w:trPr>
        <w:tc>
          <w:tcPr>
            <w:tcW w:w="4843" w:type="dxa"/>
            <w:vMerge/>
            <w:shd w:val="clear" w:color="auto" w:fill="auto"/>
            <w:vAlign w:val="center"/>
          </w:tcPr>
          <w:p w:rsidR="00000CB6" w:rsidRDefault="00000CB6">
            <w:pPr>
              <w:spacing w:line="64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00CB6" w:rsidRDefault="00000CB6">
            <w:pPr>
              <w:spacing w:line="64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</w:tcPr>
          <w:p w:rsidR="00000CB6" w:rsidRDefault="00000CB6">
            <w:pPr>
              <w:spacing w:line="64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000CB6" w:rsidRDefault="00000CB6">
            <w:pPr>
              <w:spacing w:line="640" w:lineRule="exact"/>
              <w:jc w:val="left"/>
              <w:outlineLvl w:val="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00CB6">
        <w:trPr>
          <w:trHeight w:val="525"/>
          <w:jc w:val="center"/>
        </w:trPr>
        <w:tc>
          <w:tcPr>
            <w:tcW w:w="4843" w:type="dxa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中共河北省大城县委政法委员会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行政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科级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00CB6" w:rsidRDefault="00C14A6C">
            <w:pPr>
              <w:spacing w:line="64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财政拨款</w:t>
            </w:r>
          </w:p>
        </w:tc>
      </w:tr>
    </w:tbl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二、部门决算报表（附表）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（一）收入支出决算总表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（二）收入决算表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（三）支出决算表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（四）财政拨款收入支出决算总表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（五）一般公共预算财政拨款支出决算表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（六）一般公共预算财政拨款基本支出决算表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（七）政府性基金预算财政拨款收入支出决算表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lastRenderedPageBreak/>
        <w:t>（八）国有资本经营预算财政拨款支出决算表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（九）“三公”经费及相关信息统计表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hint="eastAsia"/>
          <w:color w:val="484747"/>
          <w:sz w:val="32"/>
          <w:szCs w:val="32"/>
        </w:rPr>
        <w:t>（十）政府采购情况表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三、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color w:val="484747"/>
          <w:kern w:val="0"/>
          <w:sz w:val="32"/>
          <w:szCs w:val="32"/>
        </w:rPr>
        <w:t>7</w:t>
      </w:r>
      <w:r>
        <w:rPr>
          <w:rFonts w:ascii="黑体" w:eastAsia="黑体" w:hAnsi="黑体" w:cs="宋体"/>
          <w:color w:val="484747"/>
          <w:kern w:val="0"/>
          <w:sz w:val="32"/>
          <w:szCs w:val="32"/>
        </w:rPr>
        <w:t>年度部门决算情况说明</w:t>
      </w:r>
    </w:p>
    <w:p w:rsidR="00000CB6" w:rsidRDefault="00C14A6C">
      <w:pPr>
        <w:widowControl/>
        <w:snapToGrid w:val="0"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（一）收入支出决算总体情况说明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反映本部门综合收支情况。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年部门决算收入总计：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1604.33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万元。支出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1515.71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万元，结余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88.62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（二）收入决算情况说明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反映本部门当年总体收入情况。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年收入合计：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1604.33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其中：财政拨款收入</w:t>
      </w:r>
      <w:r>
        <w:rPr>
          <w:rFonts w:ascii="仿宋" w:eastAsia="仿宋" w:hAnsi="仿宋" w:hint="eastAsia"/>
          <w:sz w:val="32"/>
          <w:szCs w:val="32"/>
        </w:rPr>
        <w:t xml:space="preserve">1487.83 </w:t>
      </w:r>
      <w:r>
        <w:rPr>
          <w:rFonts w:ascii="仿宋" w:eastAsia="仿宋" w:hAnsi="仿宋" w:hint="eastAsia"/>
          <w:sz w:val="32"/>
          <w:szCs w:val="32"/>
        </w:rPr>
        <w:t>万元，其他收入</w:t>
      </w:r>
      <w:r>
        <w:rPr>
          <w:rFonts w:ascii="仿宋" w:eastAsia="仿宋" w:hAnsi="仿宋" w:hint="eastAsia"/>
          <w:sz w:val="32"/>
          <w:szCs w:val="32"/>
        </w:rPr>
        <w:t>116.5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（三）支出决算情况说明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反映本部门当年总体支出情况。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年支出合计：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1515.71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其中：</w:t>
      </w:r>
      <w:r>
        <w:rPr>
          <w:rFonts w:ascii="仿宋" w:eastAsia="仿宋" w:hAnsi="仿宋" w:cs="仿宋_GB2312" w:hint="eastAsia"/>
          <w:sz w:val="32"/>
          <w:szCs w:val="32"/>
        </w:rPr>
        <w:t>其中基本支出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161.73</w:t>
      </w:r>
      <w:r>
        <w:rPr>
          <w:rFonts w:ascii="仿宋" w:eastAsia="仿宋" w:hAnsi="仿宋" w:cs="仿宋_GB2312" w:hint="eastAsia"/>
          <w:sz w:val="32"/>
          <w:szCs w:val="32"/>
        </w:rPr>
        <w:t>万元，项目支出</w:t>
      </w:r>
      <w:r>
        <w:rPr>
          <w:rFonts w:ascii="仿宋" w:eastAsia="仿宋" w:hAnsi="仿宋" w:cs="仿宋_GB2312" w:hint="eastAsia"/>
          <w:sz w:val="32"/>
          <w:szCs w:val="32"/>
        </w:rPr>
        <w:t>1353.98</w:t>
      </w:r>
      <w:r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lastRenderedPageBreak/>
        <w:t>（四）财政拨款收入支出决算总体情况说明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反映本部门财政拨款收支情况。</w:t>
      </w:r>
      <w:r>
        <w:rPr>
          <w:rFonts w:ascii="仿宋" w:eastAsia="仿宋" w:hAnsi="仿宋" w:hint="eastAsia"/>
          <w:sz w:val="32"/>
          <w:szCs w:val="32"/>
        </w:rPr>
        <w:t>我单位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年一般公共预算财政拨款</w:t>
      </w:r>
      <w:r>
        <w:rPr>
          <w:rFonts w:ascii="仿宋" w:eastAsia="仿宋" w:hAnsi="仿宋" w:hint="eastAsia"/>
          <w:sz w:val="32"/>
          <w:szCs w:val="32"/>
        </w:rPr>
        <w:t>1487.83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</w:rPr>
        <w:t>161.73</w:t>
      </w:r>
      <w:r>
        <w:rPr>
          <w:rFonts w:ascii="仿宋" w:eastAsia="仿宋" w:hAnsi="仿宋" w:hint="eastAsia"/>
          <w:sz w:val="32"/>
          <w:szCs w:val="32"/>
        </w:rPr>
        <w:t>万元，比上年增加</w:t>
      </w:r>
      <w:r>
        <w:rPr>
          <w:rFonts w:ascii="仿宋" w:eastAsia="仿宋" w:hAnsi="仿宋" w:hint="eastAsia"/>
          <w:sz w:val="32"/>
          <w:szCs w:val="32"/>
        </w:rPr>
        <w:t>29.83</w:t>
      </w:r>
      <w:r>
        <w:rPr>
          <w:rFonts w:ascii="仿宋" w:eastAsia="仿宋" w:hAnsi="仿宋" w:hint="eastAsia"/>
          <w:sz w:val="32"/>
          <w:szCs w:val="32"/>
        </w:rPr>
        <w:t>万元，增减原因：人员经费和</w:t>
      </w:r>
      <w:r>
        <w:rPr>
          <w:rFonts w:ascii="仿宋" w:eastAsia="仿宋" w:hAnsi="仿宋" w:cs="仿宋_GB2312" w:hint="eastAsia"/>
          <w:sz w:val="32"/>
          <w:szCs w:val="32"/>
        </w:rPr>
        <w:t>日常公用经费</w:t>
      </w:r>
      <w:r>
        <w:rPr>
          <w:rFonts w:ascii="仿宋" w:eastAsia="仿宋" w:hAnsi="仿宋" w:hint="eastAsia"/>
          <w:sz w:val="32"/>
          <w:szCs w:val="32"/>
        </w:rPr>
        <w:t>支出；项目支出</w:t>
      </w:r>
      <w:r>
        <w:rPr>
          <w:rFonts w:ascii="仿宋" w:eastAsia="仿宋" w:hAnsi="仿宋" w:hint="eastAsia"/>
          <w:sz w:val="32"/>
          <w:szCs w:val="32"/>
        </w:rPr>
        <w:t>1326.1</w:t>
      </w:r>
      <w:r>
        <w:rPr>
          <w:rFonts w:ascii="仿宋" w:eastAsia="仿宋" w:hAnsi="仿宋" w:hint="eastAsia"/>
          <w:sz w:val="32"/>
          <w:szCs w:val="32"/>
        </w:rPr>
        <w:t>万元，比上年增加</w:t>
      </w:r>
      <w:r>
        <w:rPr>
          <w:rFonts w:ascii="仿宋" w:eastAsia="仿宋" w:hAnsi="仿宋" w:hint="eastAsia"/>
          <w:sz w:val="32"/>
          <w:szCs w:val="32"/>
        </w:rPr>
        <w:t>315.4</w:t>
      </w:r>
      <w:r>
        <w:rPr>
          <w:rFonts w:ascii="仿宋" w:eastAsia="仿宋" w:hAnsi="仿宋" w:hint="eastAsia"/>
          <w:sz w:val="32"/>
          <w:szCs w:val="32"/>
        </w:rPr>
        <w:t>万元，增减原因：农村天网建设经费、</w:t>
      </w:r>
      <w:r>
        <w:rPr>
          <w:rFonts w:ascii="仿宋" w:eastAsia="仿宋" w:hAnsi="仿宋" w:cs="仿宋_GB2312" w:hint="eastAsia"/>
          <w:sz w:val="32"/>
          <w:szCs w:val="32"/>
        </w:rPr>
        <w:t>见义勇为基金、城区“天网”建设尾款、综治经费、综治视联网终端设备费等项目支出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年财政拨款支出</w:t>
      </w:r>
      <w:r>
        <w:rPr>
          <w:rFonts w:ascii="仿宋" w:eastAsia="仿宋" w:hAnsi="仿宋"/>
          <w:sz w:val="32"/>
          <w:szCs w:val="32"/>
        </w:rPr>
        <w:t>1142.6</w:t>
      </w:r>
      <w:r>
        <w:rPr>
          <w:rFonts w:ascii="仿宋" w:eastAsia="仿宋" w:hAnsi="仿宋" w:hint="eastAsia"/>
          <w:sz w:val="32"/>
          <w:szCs w:val="32"/>
        </w:rPr>
        <w:t>万元，其中：</w:t>
      </w:r>
      <w:r>
        <w:rPr>
          <w:rFonts w:ascii="仿宋" w:eastAsia="仿宋" w:hAnsi="仿宋" w:cs="仿宋_GB2312" w:hint="eastAsia"/>
          <w:sz w:val="32"/>
          <w:szCs w:val="32"/>
        </w:rPr>
        <w:t>其中基本支出</w:t>
      </w:r>
      <w:r>
        <w:rPr>
          <w:rFonts w:ascii="仿宋" w:eastAsia="仿宋" w:hAnsi="仿宋" w:cs="仿宋"/>
          <w:color w:val="000000"/>
          <w:sz w:val="32"/>
          <w:szCs w:val="32"/>
        </w:rPr>
        <w:t>131.9</w:t>
      </w:r>
      <w:r>
        <w:rPr>
          <w:rFonts w:ascii="仿宋" w:eastAsia="仿宋" w:hAnsi="仿宋" w:cs="仿宋_GB2312" w:hint="eastAsia"/>
          <w:sz w:val="32"/>
          <w:szCs w:val="32"/>
        </w:rPr>
        <w:t>万元，包括人员经费和日常公用经费；项目支出</w:t>
      </w:r>
      <w:r>
        <w:rPr>
          <w:rFonts w:ascii="仿宋" w:eastAsia="仿宋" w:hAnsi="仿宋" w:cs="仿宋_GB2312"/>
          <w:sz w:val="32"/>
          <w:szCs w:val="32"/>
        </w:rPr>
        <w:t>1010.7</w:t>
      </w:r>
      <w:r>
        <w:rPr>
          <w:rFonts w:ascii="仿宋" w:eastAsia="仿宋" w:hAnsi="仿宋" w:cs="仿宋_GB2312" w:hint="eastAsia"/>
          <w:sz w:val="32"/>
          <w:szCs w:val="32"/>
        </w:rPr>
        <w:t>万元，全部为本级支出，主要为精神障碍患者监护人以奖代补和责任险资金、大要案准备金、县级长安网运行维护费等。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（五）</w:t>
      </w: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“</w:t>
      </w: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三公</w:t>
      </w: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”</w:t>
      </w: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经费情况及增减变化原因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年度部门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三公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经费支出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12.48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万元，比预算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减少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0.52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万元，比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年度决算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增加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8.38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万元。</w:t>
      </w:r>
    </w:p>
    <w:p w:rsidR="00000CB6" w:rsidRDefault="00C14A6C">
      <w:pPr>
        <w:pStyle w:val="a5"/>
        <w:spacing w:before="0" w:beforeAutospacing="0" w:after="0" w:afterAutospacing="0" w:line="70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/>
          <w:color w:val="484747"/>
          <w:sz w:val="32"/>
          <w:szCs w:val="32"/>
        </w:rPr>
        <w:t>其中：因公出国（境）费</w:t>
      </w:r>
      <w:r>
        <w:rPr>
          <w:rFonts w:ascii="仿宋" w:eastAsia="仿宋" w:hAnsi="仿宋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万元（本单位</w:t>
      </w:r>
      <w:r>
        <w:rPr>
          <w:rFonts w:ascii="仿宋" w:eastAsia="仿宋" w:hAnsi="仿宋"/>
          <w:color w:val="484747"/>
          <w:sz w:val="32"/>
          <w:szCs w:val="32"/>
        </w:rPr>
        <w:t>201</w:t>
      </w:r>
      <w:r>
        <w:rPr>
          <w:rFonts w:ascii="仿宋" w:eastAsia="仿宋" w:hAnsi="仿宋" w:hint="eastAsia"/>
          <w:color w:val="484747"/>
          <w:sz w:val="32"/>
          <w:szCs w:val="32"/>
        </w:rPr>
        <w:t>7</w:t>
      </w:r>
      <w:r>
        <w:rPr>
          <w:rFonts w:ascii="仿宋" w:eastAsia="仿宋" w:hAnsi="仿宋"/>
          <w:color w:val="484747"/>
          <w:sz w:val="32"/>
          <w:szCs w:val="32"/>
        </w:rPr>
        <w:t>年度组织出国（境）团组</w:t>
      </w:r>
      <w:r>
        <w:rPr>
          <w:rFonts w:ascii="仿宋" w:eastAsia="仿宋" w:hAnsi="仿宋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个，因公出国（境）</w:t>
      </w:r>
      <w:r>
        <w:rPr>
          <w:rFonts w:ascii="仿宋" w:eastAsia="仿宋" w:hAnsi="仿宋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次</w:t>
      </w:r>
      <w:r>
        <w:rPr>
          <w:rFonts w:ascii="仿宋" w:eastAsia="仿宋" w:hAnsi="仿宋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人），与</w:t>
      </w:r>
      <w:r>
        <w:rPr>
          <w:rFonts w:ascii="仿宋" w:eastAsia="仿宋" w:hAnsi="仿宋"/>
          <w:color w:val="484747"/>
          <w:sz w:val="32"/>
          <w:szCs w:val="32"/>
        </w:rPr>
        <w:t>201</w:t>
      </w:r>
      <w:r>
        <w:rPr>
          <w:rFonts w:ascii="仿宋" w:eastAsia="仿宋" w:hAnsi="仿宋" w:hint="eastAsia"/>
          <w:color w:val="484747"/>
          <w:sz w:val="32"/>
          <w:szCs w:val="32"/>
        </w:rPr>
        <w:t>7</w:t>
      </w:r>
      <w:r>
        <w:rPr>
          <w:rFonts w:ascii="仿宋" w:eastAsia="仿宋" w:hAnsi="仿宋"/>
          <w:color w:val="484747"/>
          <w:sz w:val="32"/>
          <w:szCs w:val="32"/>
        </w:rPr>
        <w:t>年度决算持平；公务用车购置及运行维护费</w:t>
      </w:r>
      <w:r>
        <w:rPr>
          <w:rFonts w:ascii="仿宋" w:eastAsia="仿宋" w:hAnsi="仿宋" w:hint="eastAsia"/>
          <w:color w:val="484747"/>
          <w:sz w:val="32"/>
          <w:szCs w:val="32"/>
        </w:rPr>
        <w:t>12.48</w:t>
      </w:r>
      <w:r>
        <w:rPr>
          <w:rFonts w:ascii="仿宋" w:eastAsia="仿宋" w:hAnsi="仿宋"/>
          <w:color w:val="484747"/>
          <w:sz w:val="32"/>
          <w:szCs w:val="32"/>
        </w:rPr>
        <w:t>万元（公务用车购置数量</w:t>
      </w:r>
      <w:r>
        <w:rPr>
          <w:rFonts w:ascii="仿宋" w:eastAsia="仿宋" w:hAnsi="仿宋"/>
          <w:color w:val="484747"/>
          <w:sz w:val="32"/>
          <w:szCs w:val="32"/>
        </w:rPr>
        <w:lastRenderedPageBreak/>
        <w:t>0</w:t>
      </w:r>
      <w:r>
        <w:rPr>
          <w:rFonts w:ascii="仿宋" w:eastAsia="仿宋" w:hAnsi="仿宋"/>
          <w:color w:val="484747"/>
          <w:sz w:val="32"/>
          <w:szCs w:val="32"/>
        </w:rPr>
        <w:t>辆，购置金额</w:t>
      </w:r>
      <w:r>
        <w:rPr>
          <w:rFonts w:ascii="仿宋" w:eastAsia="仿宋" w:hAnsi="仿宋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万元，公车运行维护费</w:t>
      </w:r>
      <w:r>
        <w:rPr>
          <w:rFonts w:ascii="仿宋" w:eastAsia="仿宋" w:hAnsi="仿宋" w:hint="eastAsia"/>
          <w:color w:val="484747"/>
          <w:sz w:val="32"/>
          <w:szCs w:val="32"/>
        </w:rPr>
        <w:t>12.48</w:t>
      </w:r>
      <w:r>
        <w:rPr>
          <w:rFonts w:ascii="仿宋" w:eastAsia="仿宋" w:hAnsi="仿宋"/>
          <w:color w:val="484747"/>
          <w:sz w:val="32"/>
          <w:szCs w:val="32"/>
        </w:rPr>
        <w:t>万元，年末公务用车保有量</w:t>
      </w:r>
      <w:r>
        <w:rPr>
          <w:rFonts w:ascii="仿宋" w:eastAsia="仿宋" w:hAnsi="仿宋" w:hint="eastAsia"/>
          <w:color w:val="484747"/>
          <w:sz w:val="32"/>
          <w:szCs w:val="32"/>
        </w:rPr>
        <w:t>2</w:t>
      </w:r>
      <w:r>
        <w:rPr>
          <w:rFonts w:ascii="仿宋" w:eastAsia="仿宋" w:hAnsi="仿宋"/>
          <w:color w:val="484747"/>
          <w:sz w:val="32"/>
          <w:szCs w:val="32"/>
        </w:rPr>
        <w:t>辆），</w:t>
      </w:r>
      <w:r>
        <w:rPr>
          <w:rFonts w:ascii="仿宋" w:eastAsia="仿宋" w:hAnsi="仿宋" w:hint="eastAsia"/>
          <w:color w:val="484747"/>
          <w:sz w:val="32"/>
          <w:szCs w:val="32"/>
        </w:rPr>
        <w:t>比</w:t>
      </w:r>
      <w:r>
        <w:rPr>
          <w:rFonts w:ascii="仿宋" w:eastAsia="仿宋" w:hAnsi="仿宋"/>
          <w:color w:val="484747"/>
          <w:sz w:val="32"/>
          <w:szCs w:val="32"/>
        </w:rPr>
        <w:t>201</w:t>
      </w:r>
      <w:r>
        <w:rPr>
          <w:rFonts w:ascii="仿宋" w:eastAsia="仿宋" w:hAnsi="仿宋" w:hint="eastAsia"/>
          <w:color w:val="484747"/>
          <w:sz w:val="32"/>
          <w:szCs w:val="32"/>
        </w:rPr>
        <w:t>6</w:t>
      </w:r>
      <w:r>
        <w:rPr>
          <w:rFonts w:ascii="仿宋" w:eastAsia="仿宋" w:hAnsi="仿宋"/>
          <w:color w:val="484747"/>
          <w:sz w:val="32"/>
          <w:szCs w:val="32"/>
        </w:rPr>
        <w:t>年度</w:t>
      </w:r>
      <w:r>
        <w:rPr>
          <w:rFonts w:ascii="仿宋" w:eastAsia="仿宋" w:hAnsi="仿宋" w:hint="eastAsia"/>
          <w:color w:val="484747"/>
          <w:sz w:val="32"/>
          <w:szCs w:val="32"/>
        </w:rPr>
        <w:t>增加</w:t>
      </w:r>
      <w:r>
        <w:rPr>
          <w:rFonts w:ascii="仿宋" w:eastAsia="仿宋" w:hAnsi="仿宋" w:hint="eastAsia"/>
          <w:color w:val="484747"/>
          <w:sz w:val="32"/>
          <w:szCs w:val="32"/>
        </w:rPr>
        <w:t>8.68</w:t>
      </w:r>
      <w:r>
        <w:rPr>
          <w:rFonts w:ascii="仿宋" w:eastAsia="仿宋" w:hAnsi="仿宋"/>
          <w:color w:val="484747"/>
          <w:sz w:val="32"/>
          <w:szCs w:val="32"/>
        </w:rPr>
        <w:t>万元，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本部门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年前无公务用车，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年公务用车改革后核准公务用车两辆，公务用车运行维护费相应增加</w:t>
      </w:r>
      <w:r>
        <w:rPr>
          <w:rFonts w:ascii="仿宋" w:eastAsia="仿宋" w:hAnsi="仿宋"/>
          <w:color w:val="484747"/>
          <w:sz w:val="32"/>
          <w:szCs w:val="32"/>
        </w:rPr>
        <w:t>；公务接待费</w:t>
      </w:r>
      <w:r>
        <w:rPr>
          <w:rFonts w:ascii="仿宋" w:eastAsia="仿宋" w:hAnsi="仿宋" w:hint="eastAsia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万元（</w:t>
      </w:r>
      <w:r>
        <w:rPr>
          <w:rFonts w:ascii="仿宋" w:eastAsia="仿宋" w:hAnsi="仿宋"/>
          <w:color w:val="484747"/>
          <w:sz w:val="32"/>
          <w:szCs w:val="32"/>
        </w:rPr>
        <w:t>201</w:t>
      </w:r>
      <w:r>
        <w:rPr>
          <w:rFonts w:ascii="仿宋" w:eastAsia="仿宋" w:hAnsi="仿宋" w:hint="eastAsia"/>
          <w:color w:val="484747"/>
          <w:sz w:val="32"/>
          <w:szCs w:val="32"/>
        </w:rPr>
        <w:t>7</w:t>
      </w:r>
      <w:r>
        <w:rPr>
          <w:rFonts w:ascii="仿宋" w:eastAsia="仿宋" w:hAnsi="仿宋"/>
          <w:color w:val="484747"/>
          <w:sz w:val="32"/>
          <w:szCs w:val="32"/>
        </w:rPr>
        <w:t>年度国内公务接待</w:t>
      </w:r>
      <w:r>
        <w:rPr>
          <w:rFonts w:ascii="仿宋" w:eastAsia="仿宋" w:hAnsi="仿宋" w:hint="eastAsia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批次，合计接待</w:t>
      </w:r>
      <w:r>
        <w:rPr>
          <w:rFonts w:ascii="仿宋" w:eastAsia="仿宋" w:hAnsi="仿宋" w:hint="eastAsia"/>
          <w:color w:val="484747"/>
          <w:sz w:val="32"/>
          <w:szCs w:val="32"/>
        </w:rPr>
        <w:t>0</w:t>
      </w:r>
      <w:r>
        <w:rPr>
          <w:rFonts w:ascii="仿宋" w:eastAsia="仿宋" w:hAnsi="仿宋"/>
          <w:color w:val="484747"/>
          <w:sz w:val="32"/>
          <w:szCs w:val="32"/>
        </w:rPr>
        <w:t>人次），</w:t>
      </w:r>
      <w:r>
        <w:rPr>
          <w:rFonts w:ascii="仿宋" w:eastAsia="仿宋" w:hAnsi="仿宋" w:hint="eastAsia"/>
          <w:color w:val="484747"/>
          <w:sz w:val="32"/>
          <w:szCs w:val="32"/>
        </w:rPr>
        <w:t>较</w:t>
      </w:r>
      <w:r>
        <w:rPr>
          <w:rFonts w:ascii="仿宋" w:eastAsia="仿宋" w:hAnsi="仿宋"/>
          <w:color w:val="484747"/>
          <w:sz w:val="32"/>
          <w:szCs w:val="32"/>
        </w:rPr>
        <w:t>预算</w:t>
      </w:r>
      <w:r>
        <w:rPr>
          <w:rFonts w:ascii="仿宋" w:eastAsia="仿宋" w:hAnsi="仿宋" w:hint="eastAsia"/>
          <w:color w:val="484747"/>
          <w:sz w:val="32"/>
          <w:szCs w:val="32"/>
        </w:rPr>
        <w:t>增加</w:t>
      </w:r>
      <w:r>
        <w:rPr>
          <w:rFonts w:ascii="仿宋" w:eastAsia="仿宋" w:hAnsi="仿宋" w:hint="eastAsia"/>
          <w:color w:val="484747"/>
          <w:sz w:val="32"/>
          <w:szCs w:val="32"/>
        </w:rPr>
        <w:t>0</w:t>
      </w:r>
      <w:r>
        <w:rPr>
          <w:rFonts w:ascii="仿宋" w:eastAsia="仿宋" w:hAnsi="仿宋" w:hint="eastAsia"/>
          <w:color w:val="484747"/>
          <w:sz w:val="32"/>
          <w:szCs w:val="32"/>
        </w:rPr>
        <w:t>万元</w:t>
      </w:r>
      <w:r>
        <w:rPr>
          <w:rFonts w:ascii="仿宋" w:eastAsia="仿宋" w:hAnsi="仿宋"/>
          <w:color w:val="484747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原因是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认真贯彻执行厉行节约，规范管理，严格控制和压缩公务接待费用支出。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（六）机关运行经费支出情况的说明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7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年度部门机关运行经费支出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23.98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比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201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6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年度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增加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10.48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万元，</w:t>
      </w:r>
      <w:r>
        <w:rPr>
          <w:rFonts w:ascii="仿宋" w:eastAsia="仿宋" w:hAnsi="仿宋" w:cs="Times New Roman"/>
          <w:sz w:val="32"/>
          <w:szCs w:val="32"/>
        </w:rPr>
        <w:t>原因是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color w:val="484747"/>
          <w:kern w:val="0"/>
          <w:sz w:val="32"/>
          <w:szCs w:val="32"/>
        </w:rPr>
        <w:t>公务交通补贴增加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。</w:t>
      </w:r>
    </w:p>
    <w:p w:rsidR="00000CB6" w:rsidRDefault="00C14A6C">
      <w:pPr>
        <w:spacing w:line="700" w:lineRule="exact"/>
        <w:ind w:firstLineChars="200" w:firstLine="643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（七）</w:t>
      </w:r>
      <w:r>
        <w:rPr>
          <w:rFonts w:ascii="楷体" w:eastAsia="楷体" w:hAnsi="楷体" w:cs="宋体" w:hint="eastAsia"/>
          <w:b/>
          <w:color w:val="484747"/>
          <w:kern w:val="0"/>
          <w:sz w:val="32"/>
          <w:szCs w:val="32"/>
        </w:rPr>
        <w:t>绩效预算管理工作开展情况说明</w:t>
      </w:r>
    </w:p>
    <w:p w:rsidR="00000CB6" w:rsidRDefault="00C14A6C">
      <w:pPr>
        <w:spacing w:line="700" w:lineRule="exact"/>
        <w:ind w:firstLineChars="200" w:firstLine="643"/>
        <w:rPr>
          <w:rFonts w:ascii="仿宋" w:eastAsia="仿宋" w:hAnsi="仿宋" w:cs="仿宋"/>
          <w:b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484747"/>
          <w:kern w:val="0"/>
          <w:sz w:val="32"/>
          <w:szCs w:val="32"/>
        </w:rPr>
        <w:t>（一）绩效管理工作开展情况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 w:cs="仿宋"/>
          <w:bCs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财政预算绩效管理要求，中共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河北省大城县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委政法委员会以“部门职责—工作活动”为依据，确定部门预算项目和预算额度，清晰描述预算项目开支范围和内容，确定预算项目的绩效目标、绩效指标和评价标准，为预算绩效控制、绩效分析、绩效评价打下好的基础。</w:t>
      </w:r>
    </w:p>
    <w:p w:rsidR="00000CB6" w:rsidRDefault="00C14A6C">
      <w:pPr>
        <w:spacing w:line="700" w:lineRule="exact"/>
        <w:ind w:firstLineChars="200" w:firstLine="643"/>
        <w:rPr>
          <w:rFonts w:ascii="仿宋" w:eastAsia="仿宋" w:hAnsi="仿宋" w:cs="仿宋"/>
          <w:b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484747"/>
          <w:kern w:val="0"/>
          <w:sz w:val="32"/>
          <w:szCs w:val="32"/>
        </w:rPr>
        <w:lastRenderedPageBreak/>
        <w:t>（二）预算项目绩效评价开展情况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 w:cs="仿宋"/>
          <w:bCs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按照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财政预算绩效管理要求，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县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财政局对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2017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年初确定的部门一般公共预算支出重点专项项目开展了绩效评价。中共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河北省大城县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委政法委员会部门决算专项项目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个，共涉及预算资金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335.92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万元，绩效评价覆盖率达到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100%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。</w:t>
      </w:r>
    </w:p>
    <w:p w:rsidR="00000CB6" w:rsidRDefault="00C14A6C">
      <w:pPr>
        <w:spacing w:line="700" w:lineRule="exact"/>
        <w:ind w:firstLineChars="200" w:firstLine="643"/>
        <w:rPr>
          <w:rFonts w:ascii="仿宋" w:eastAsia="仿宋" w:hAnsi="仿宋" w:cs="仿宋"/>
          <w:b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color w:val="484747"/>
          <w:kern w:val="0"/>
          <w:sz w:val="32"/>
          <w:szCs w:val="32"/>
        </w:rPr>
        <w:t>（三）预算项目绩效自评选例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 w:cs="仿宋"/>
          <w:bCs/>
          <w:color w:val="484747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“</w:t>
      </w:r>
      <w:bookmarkStart w:id="0" w:name="_GoBack"/>
      <w:bookmarkEnd w:id="0"/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长安网运行维护费”项目。《廊坊长安网》是中央、省、市、县四级长安网的重要组成部分。加强长安网网群建设，是中央、省、市政法委、综治委近年来为加强政法综治宣传重点推进的一项工作。《廊坊长安网》自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2015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5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月底建成开通以来，在宣传党的方针政策、交流政法综治工作经验，展示政法综治工作成绩，普及法律知识，树立政法综治机关和政法综治队伍良好形象等方面发挥了重要作用，取得了较好成绩。按照有关要求，确定网站更新频率为一项绩效指标，每周更新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篇及以上为优，每周更新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2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篇为良，每周更新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1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篇为中，每周更新少于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color w:val="484747"/>
          <w:kern w:val="0"/>
          <w:sz w:val="32"/>
          <w:szCs w:val="32"/>
        </w:rPr>
        <w:t>篇为差的评价标准。绩效自评等级为优。</w:t>
      </w:r>
    </w:p>
    <w:p w:rsidR="00000CB6" w:rsidRDefault="00C14A6C">
      <w:pPr>
        <w:spacing w:line="700" w:lineRule="exact"/>
        <w:ind w:firstLineChars="200" w:firstLine="643"/>
        <w:jc w:val="left"/>
        <w:outlineLvl w:val="0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部门职责及工作活动绩效目标指标：</w:t>
      </w:r>
    </w:p>
    <w:p w:rsidR="00000CB6" w:rsidRDefault="00C14A6C">
      <w:pPr>
        <w:spacing w:line="700" w:lineRule="exact"/>
        <w:jc w:val="center"/>
        <w:outlineLvl w:val="0"/>
        <w:rPr>
          <w:rFonts w:ascii="仿宋" w:eastAsia="仿宋" w:hAnsi="仿宋"/>
          <w:sz w:val="32"/>
          <w:szCs w:val="32"/>
        </w:rPr>
      </w:pPr>
      <w:bookmarkStart w:id="1" w:name="_Toc476322786"/>
      <w:r>
        <w:rPr>
          <w:rFonts w:ascii="仿宋" w:eastAsia="仿宋" w:hAnsi="仿宋" w:hint="eastAsia"/>
          <w:sz w:val="32"/>
          <w:szCs w:val="32"/>
        </w:rPr>
        <w:lastRenderedPageBreak/>
        <w:t>部门职责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工作活动绩效目标</w:t>
      </w:r>
      <w:bookmarkEnd w:id="1"/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000CB6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214</w:t>
            </w:r>
            <w:r>
              <w:rPr>
                <w:rFonts w:ascii="方正小标宋_GBK" w:eastAsia="方正小标宋_GBK" w:hint="eastAsia"/>
                <w:sz w:val="24"/>
              </w:rPr>
              <w:t>中共大城县委政法委员会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000CB6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000CB6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推进平安大城建设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领导、组织、指导全县政法队伍建设工作；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研究加强政法队伍建设；承办政法系统考察、考核、任免、审查备案，办理任免报批手续；负责警衔、检察官、法官等级的评定和出国材料的审核；负责全县政法系统的思想政治教育和政法系统宣传工作、教育培训工作；组织推动全县政法队伍的廉政建设和纪律作风建设；组织机关党建活动工作；评选因公致残特困干警工作顺利开展；政法干警因公负伤和牺牲人员的保障工作；加强政法信息化保障工作；加强我县法学会建设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全县政法队伍建设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全县政法系统的思想政治教育、业务培训和宣传工作，承办政法系统的考察、考核、任免工作，负责政法系统表彰奖励工作，协调督导违法违纪案件的查处工作。组织好法学研究工作，负责全县政法系统干警的申报和审核工作，对干警本人或相关亲属进行定向资</w:t>
            </w:r>
            <w:r>
              <w:rPr>
                <w:rFonts w:ascii="方正书宋_GBK" w:eastAsia="方正书宋_GBK" w:hint="eastAsia"/>
              </w:rPr>
              <w:lastRenderedPageBreak/>
              <w:t>助，加强从优待警工作。负责组织推动广大法学工作者、法律工作者参与法学教学和法制宣传，开展法学研究等工作。加强政法信息化保障工作，实现政法工作信息化，为政法机关信息化建设打下坚实基础。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充分利用内部信息渠道和外部各类新闻媒体开展工作。传达中、省政法会议精神，结合我县实际做好工作，</w:t>
            </w:r>
            <w:r>
              <w:rPr>
                <w:rFonts w:ascii="方正书宋_GBK" w:eastAsia="方正书宋_GBK" w:hint="eastAsia"/>
              </w:rPr>
              <w:t>总结过来的成功做法，提出今后的努力方向，部署下一年工作任务。贯彻落实中央、省、市三级政法工作任务，及时部署、贯彻落实全县政法工作各项任务。定</w:t>
            </w:r>
            <w:r>
              <w:rPr>
                <w:rFonts w:ascii="方正书宋_GBK" w:eastAsia="方正书宋_GBK" w:hint="eastAsia"/>
              </w:rPr>
              <w:lastRenderedPageBreak/>
              <w:t>期进行政治理论学习和专项业务培训，以切实培养出一支一专多能的复合型政法干警队伍。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政法业务工作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法学会</w:t>
            </w:r>
            <w:r>
              <w:rPr>
                <w:rFonts w:ascii="方正书宋_GBK" w:eastAsia="方正书宋_GBK"/>
              </w:rPr>
              <w:t xml:space="preserve">      </w:t>
            </w:r>
            <w:r>
              <w:rPr>
                <w:rFonts w:ascii="方正书宋_GBK" w:eastAsia="方正书宋_GBK" w:hint="eastAsia"/>
              </w:rPr>
              <w:t>建设工作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政法干警因公负伤和牺牲人身保险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严重精神障碍患者群体</w:t>
            </w:r>
            <w:r>
              <w:rPr>
                <w:rFonts w:ascii="方正书宋_GBK" w:eastAsia="方正书宋_GBK" w:hint="eastAsia"/>
              </w:rPr>
              <w:lastRenderedPageBreak/>
              <w:t>帮扶救助工作完成情况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全县政法干警培训工作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政法工作宣传业务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全县政法工作会议工作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维护稳</w:t>
            </w:r>
            <w:r>
              <w:rPr>
                <w:rFonts w:ascii="方正书宋_GBK" w:eastAsia="方正书宋_GBK"/>
                <w:b/>
              </w:rPr>
              <w:t xml:space="preserve">   </w:t>
            </w:r>
            <w:r>
              <w:rPr>
                <w:rFonts w:ascii="方正书宋_GBK" w:eastAsia="方正书宋_GBK" w:hint="eastAsia"/>
                <w:b/>
              </w:rPr>
              <w:t>定工作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组织、协调、指导全县维护稳定工作，指导有关部门依法处置影响社会稳定的各种突发事件和群体性事件。开辟我县与北京联络沟通渠道，及时通报情况信息；实施进出京道口安全检查；启动矛盾纠纷联动处置机制；建立省区市间警务协作；落实流动人口服务管理措施；加大危险品监管检查和涉危案件的查处力度；加大公共安全管理力度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预防减少不稳定因素的发生，有效化解不稳定隐患、群体性事件和突发事件，维护国家安全工作。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大要案协调保障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涉密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安全保卫工作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维护稳定工作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全县社会治安综合治理工作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负责调查研究流动人口和特殊人群服务管理工作；协调推动人口的动态管理体系、特殊人群社会关怀帮扶体系；协调指导预防和减少青少年违法犯罪工作；负责调查研究协调推动完善非公有制经济组织和社会</w:t>
            </w:r>
            <w:r>
              <w:rPr>
                <w:rFonts w:ascii="方正书宋_GBK" w:eastAsia="方正书宋_GBK" w:hint="eastAsia"/>
              </w:rPr>
              <w:lastRenderedPageBreak/>
              <w:t>组织服务管理体制机制；研究完善群众利益协调机制，推进矛盾纠纷排查预警、调解处置工作；负责研究分析全县社会治安形势；推进社会治安重点地区和突出治安问题排查整治、社会治安防控体系建设；推动开展基层平安创建活动；协调护路护线工作；协调指导校园周边治安综合治理工作；协调基层社会管理服务体系建设；总结推广社会管理的成功经验和做法；指导全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通过社会管理综合治理，使社会稳定，重大恶性案件和多发性案件得到控制并逐步有所下降，社会丑恶现象大大减少，治安混乱的地区和单位的面貌彻底改观，治安秩序良好，群众有安全感。社会治安综合治</w:t>
            </w:r>
            <w:r>
              <w:rPr>
                <w:rFonts w:ascii="方正书宋_GBK" w:eastAsia="方正书宋_GBK" w:hint="eastAsia"/>
              </w:rPr>
              <w:lastRenderedPageBreak/>
              <w:t>理主要采取打击和防范并举，治标和治本兼顾，重在治本的治理方针。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保证天网治安监控系统正常运行，完成综治中心、视联网系统建设，加强政法信息化保</w:t>
            </w:r>
            <w:r>
              <w:rPr>
                <w:rFonts w:ascii="方正书宋_GBK" w:eastAsia="方正书宋_GBK" w:hint="eastAsia"/>
              </w:rPr>
              <w:lastRenderedPageBreak/>
              <w:t>障工作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见义勇为基金会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综治干部培训工作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全县社会治安综合治理工作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表彰</w:t>
            </w:r>
            <w:r>
              <w:rPr>
                <w:rFonts w:ascii="方正书宋_GBK" w:eastAsia="方正书宋_GBK"/>
              </w:rPr>
              <w:t xml:space="preserve">  </w:t>
            </w:r>
            <w:r>
              <w:rPr>
                <w:rFonts w:ascii="方正书宋_GBK" w:eastAsia="方正书宋_GBK" w:hint="eastAsia"/>
              </w:rPr>
              <w:t>奖励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涉法涉诉工作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依法督导重特大案件的办理，协调督导有争议的重大、疑难案件的办理，负责涉法涉诉信访工作</w:t>
            </w:r>
            <w:r>
              <w:rPr>
                <w:rFonts w:ascii="方正书宋_GBK" w:eastAsia="方正书宋_GBK"/>
              </w:rPr>
              <w:t>;</w:t>
            </w:r>
            <w:r>
              <w:rPr>
                <w:rFonts w:ascii="方正书宋_GBK" w:eastAsia="方正书宋_GBK" w:hint="eastAsia"/>
              </w:rPr>
              <w:t>负责国家司法救助对涉法涉诉信访案件当事人进行救助。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依法督导重特大案件的办理，协调督导有争议的重大、疑难案件的办理，负责涉法涉诉信访工作。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执法监督工作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30%  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20%  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 xml:space="preserve">10% </w:t>
            </w:r>
            <w:r>
              <w:rPr>
                <w:rFonts w:ascii="方正书宋_GBK" w:eastAsia="方正书宋_GBK" w:hint="eastAsia"/>
              </w:rPr>
              <w:t>以上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不足</w:t>
            </w:r>
            <w:r>
              <w:rPr>
                <w:rFonts w:ascii="方正书宋_GBK" w:eastAsia="方正书宋_GBK"/>
              </w:rPr>
              <w:t>10%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接访</w:t>
            </w:r>
            <w:r>
              <w:rPr>
                <w:rFonts w:ascii="方正书宋_GBK" w:eastAsia="方正书宋_GBK"/>
              </w:rPr>
              <w:t xml:space="preserve">  </w:t>
            </w:r>
            <w:r>
              <w:rPr>
                <w:rFonts w:ascii="方正书宋_GBK" w:eastAsia="方正书宋_GBK" w:hint="eastAsia"/>
              </w:rPr>
              <w:t>工作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</w:tr>
      <w:tr w:rsidR="00000CB6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CB6" w:rsidRDefault="00000CB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司法</w:t>
            </w:r>
            <w:r>
              <w:rPr>
                <w:rFonts w:ascii="方正书宋_GBK" w:eastAsia="方正书宋_GBK"/>
              </w:rPr>
              <w:t xml:space="preserve">  </w:t>
            </w:r>
            <w:r>
              <w:rPr>
                <w:rFonts w:ascii="方正书宋_GBK" w:eastAsia="方正书宋_GBK" w:hint="eastAsia"/>
              </w:rPr>
              <w:t>救助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00CB6" w:rsidRDefault="00C14A6C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10%</w:t>
            </w:r>
          </w:p>
        </w:tc>
      </w:tr>
    </w:tbl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（八）</w:t>
      </w:r>
      <w:r>
        <w:rPr>
          <w:rFonts w:ascii="楷体" w:eastAsia="楷体" w:hAnsi="楷体" w:cs="宋体"/>
          <w:b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1335.71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411.91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万元，政府采购工程支出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shd w:val="clear" w:color="auto" w:fill="FFFFFF"/>
        </w:rPr>
        <w:t>923.8</w:t>
      </w:r>
      <w:r>
        <w:rPr>
          <w:rFonts w:ascii="仿宋" w:eastAsia="仿宋" w:hAnsi="仿宋" w:cs="宋体"/>
          <w:color w:val="333333"/>
          <w:kern w:val="0"/>
          <w:sz w:val="32"/>
          <w:szCs w:val="32"/>
          <w:shd w:val="clear" w:color="auto" w:fill="FFFFFF"/>
        </w:rPr>
        <w:t>万元。</w:t>
      </w:r>
    </w:p>
    <w:p w:rsidR="00000CB6" w:rsidRDefault="00C14A6C">
      <w:pPr>
        <w:widowControl/>
        <w:numPr>
          <w:ilvl w:val="0"/>
          <w:numId w:val="1"/>
        </w:numPr>
        <w:spacing w:line="700" w:lineRule="exact"/>
        <w:ind w:firstLineChars="200" w:firstLine="643"/>
        <w:jc w:val="left"/>
        <w:rPr>
          <w:rFonts w:ascii="仿宋" w:eastAsia="仿宋" w:hAnsi="仿宋" w:cs="Times New Roman"/>
          <w:b/>
          <w:bCs/>
          <w:color w:val="3E3E3E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3E3E3E"/>
          <w:sz w:val="32"/>
          <w:szCs w:val="32"/>
        </w:rPr>
        <w:lastRenderedPageBreak/>
        <w:t>国有资产占用情况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仿宋" w:eastAsia="仿宋" w:hAnsi="仿宋" w:cs="Times New Roman"/>
          <w:color w:val="3E3E3E"/>
          <w:sz w:val="32"/>
          <w:szCs w:val="32"/>
        </w:rPr>
      </w:pP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2017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年末资产合计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128.74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万元。其中：流动资产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88.62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万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元，占资产总额的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68.84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%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，本年与上年相比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增加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110.31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万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元，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原因是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流动资产增加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；固定资产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40.12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万元，占资产额的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31.16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%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，本年与上年相比增加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21.69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万元，原因是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增加办公设备等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。</w:t>
      </w:r>
    </w:p>
    <w:p w:rsidR="00000CB6" w:rsidRDefault="00C14A6C">
      <w:pPr>
        <w:spacing w:line="7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color w:val="3E3E3E"/>
          <w:sz w:val="32"/>
          <w:szCs w:val="32"/>
        </w:rPr>
        <w:t>截至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2017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年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12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月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 xml:space="preserve"> 31 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日，</w:t>
      </w:r>
      <w:r>
        <w:rPr>
          <w:rFonts w:ascii="仿宋" w:eastAsia="仿宋" w:hAnsi="仿宋" w:cs="Times New Roman"/>
          <w:color w:val="3E3E3E"/>
          <w:sz w:val="32"/>
          <w:szCs w:val="32"/>
        </w:rPr>
        <w:t>本部门共有车辆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2</w:t>
      </w:r>
      <w:r>
        <w:rPr>
          <w:rFonts w:ascii="仿宋" w:eastAsia="仿宋" w:hAnsi="仿宋" w:cs="Times New Roman"/>
          <w:color w:val="3E3E3E"/>
          <w:sz w:val="32"/>
          <w:szCs w:val="32"/>
        </w:rPr>
        <w:t>辆，其中，省级领导干部用车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辆、一般公务用车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2</w:t>
      </w:r>
      <w:r>
        <w:rPr>
          <w:rFonts w:ascii="仿宋" w:eastAsia="仿宋" w:hAnsi="仿宋" w:cs="Times New Roman"/>
          <w:color w:val="3E3E3E"/>
          <w:sz w:val="32"/>
          <w:szCs w:val="32"/>
        </w:rPr>
        <w:t>辆、一般执法执勤用车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辆、特种专业技术用车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辆、其他用车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辆，其他用车主要是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无</w:t>
      </w:r>
      <w:r>
        <w:rPr>
          <w:rFonts w:ascii="仿宋" w:eastAsia="仿宋" w:hAnsi="仿宋" w:cs="Times New Roman"/>
          <w:color w:val="3E3E3E"/>
          <w:sz w:val="32"/>
          <w:szCs w:val="32"/>
        </w:rPr>
        <w:t>；单位价值</w:t>
      </w:r>
      <w:r>
        <w:rPr>
          <w:rFonts w:ascii="仿宋" w:eastAsia="仿宋" w:hAnsi="仿宋" w:cs="Times New Roman"/>
          <w:color w:val="3E3E3E"/>
          <w:sz w:val="32"/>
          <w:szCs w:val="32"/>
        </w:rPr>
        <w:t>50</w:t>
      </w:r>
      <w:r>
        <w:rPr>
          <w:rFonts w:ascii="仿宋" w:eastAsia="仿宋" w:hAnsi="仿宋" w:cs="Times New Roman"/>
          <w:color w:val="3E3E3E"/>
          <w:sz w:val="32"/>
          <w:szCs w:val="32"/>
        </w:rPr>
        <w:t>万元以上大型设备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台（套），单位价值</w:t>
      </w:r>
      <w:r>
        <w:rPr>
          <w:rFonts w:ascii="仿宋" w:eastAsia="仿宋" w:hAnsi="仿宋" w:cs="Times New Roman"/>
          <w:color w:val="3E3E3E"/>
          <w:sz w:val="32"/>
          <w:szCs w:val="32"/>
        </w:rPr>
        <w:t>100</w:t>
      </w:r>
      <w:r>
        <w:rPr>
          <w:rFonts w:ascii="仿宋" w:eastAsia="仿宋" w:hAnsi="仿宋" w:cs="Times New Roman"/>
          <w:color w:val="3E3E3E"/>
          <w:sz w:val="32"/>
          <w:szCs w:val="32"/>
        </w:rPr>
        <w:t>万元以上大型设备</w:t>
      </w:r>
      <w:r>
        <w:rPr>
          <w:rFonts w:ascii="仿宋" w:eastAsia="仿宋" w:hAnsi="仿宋" w:cs="Times New Roman" w:hint="eastAsia"/>
          <w:color w:val="3E3E3E"/>
          <w:sz w:val="32"/>
          <w:szCs w:val="32"/>
        </w:rPr>
        <w:t>0</w:t>
      </w:r>
      <w:r>
        <w:rPr>
          <w:rFonts w:ascii="仿宋" w:eastAsia="仿宋" w:hAnsi="仿宋" w:cs="Times New Roman"/>
          <w:color w:val="3E3E3E"/>
          <w:sz w:val="32"/>
          <w:szCs w:val="32"/>
        </w:rPr>
        <w:t>台（套）。</w:t>
      </w:r>
    </w:p>
    <w:p w:rsidR="00000CB6" w:rsidRDefault="00C14A6C">
      <w:pPr>
        <w:widowControl/>
        <w:spacing w:line="700" w:lineRule="exact"/>
        <w:ind w:firstLineChars="200" w:firstLine="643"/>
        <w:jc w:val="left"/>
        <w:rPr>
          <w:rFonts w:ascii="楷体" w:eastAsia="楷体" w:hAnsi="楷体" w:cs="宋体"/>
          <w:b/>
          <w:color w:val="484747"/>
          <w:kern w:val="0"/>
          <w:sz w:val="32"/>
          <w:szCs w:val="32"/>
        </w:rPr>
      </w:pPr>
      <w:r>
        <w:rPr>
          <w:rFonts w:ascii="楷体" w:eastAsia="楷体" w:hAnsi="楷体" w:cs="宋体"/>
          <w:b/>
          <w:color w:val="484747"/>
          <w:kern w:val="0"/>
          <w:sz w:val="32"/>
          <w:szCs w:val="32"/>
        </w:rPr>
        <w:t>（十）其他需要说明的情况</w:t>
      </w:r>
    </w:p>
    <w:p w:rsidR="00000CB6" w:rsidRDefault="00C14A6C">
      <w:pPr>
        <w:tabs>
          <w:tab w:val="left" w:pos="11490"/>
        </w:tabs>
        <w:spacing w:line="7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本单位没有其他需要说明的事项。</w:t>
      </w:r>
    </w:p>
    <w:p w:rsidR="00000CB6" w:rsidRDefault="00C14A6C">
      <w:pPr>
        <w:widowControl/>
        <w:spacing w:line="700" w:lineRule="exact"/>
        <w:ind w:firstLineChars="200" w:firstLine="640"/>
        <w:jc w:val="left"/>
        <w:rPr>
          <w:rFonts w:ascii="黑体" w:eastAsia="黑体" w:hAnsi="黑体" w:cs="宋体"/>
          <w:color w:val="484747"/>
          <w:kern w:val="0"/>
          <w:sz w:val="32"/>
          <w:szCs w:val="32"/>
        </w:rPr>
      </w:pPr>
      <w:r>
        <w:rPr>
          <w:rFonts w:ascii="黑体" w:eastAsia="黑体" w:hAnsi="黑体" w:cs="宋体"/>
          <w:color w:val="484747"/>
          <w:kern w:val="0"/>
          <w:sz w:val="32"/>
          <w:szCs w:val="32"/>
        </w:rPr>
        <w:t>四、名词解释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（二）其他收入：指除上述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财政拨款收入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事业收入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、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经营收入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等以外的收入。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lastRenderedPageBreak/>
        <w:t>（三）年初结转和结余：指以前年度尚未完成、结转到本年仍按原规定用途继续使用的资金，或项目已完成等产生的结余资金。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（四）年末结转和结余：指单位按有关规定结转到下年或以后年度继续使用的资金，或项目已完成等产生的结余资金。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（五）基本支出：填列单位为保障机构正常运转、完成日常工作任务而发生的各项支出。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（六）项目支出：填列单位为完成特定的行政工作任务或事业发展目标，在基本支出之外发生的各项支出。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（七）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“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三公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”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经费：指部门用财政拨款安排的因公出国（境）费、公务用车购置及运行费和公务接待费。其中，因公出国（境）费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t>（八）公务用车购置：填列单位公务用车车辆购置支出（含车辆购置税）。</w:t>
      </w:r>
    </w:p>
    <w:p w:rsidR="00000CB6" w:rsidRDefault="00C14A6C">
      <w:pPr>
        <w:widowControl/>
        <w:snapToGrid w:val="0"/>
        <w:spacing w:line="700" w:lineRule="exact"/>
        <w:ind w:firstLineChars="200" w:firstLine="640"/>
        <w:jc w:val="left"/>
        <w:rPr>
          <w:rFonts w:ascii="仿宋" w:eastAsia="仿宋" w:hAnsi="仿宋" w:cs="宋体"/>
          <w:color w:val="484747"/>
          <w:kern w:val="0"/>
          <w:sz w:val="32"/>
          <w:szCs w:val="32"/>
        </w:rPr>
      </w:pPr>
      <w:r>
        <w:rPr>
          <w:rFonts w:ascii="仿宋" w:eastAsia="仿宋" w:hAnsi="仿宋" w:cs="宋体"/>
          <w:color w:val="484747"/>
          <w:kern w:val="0"/>
          <w:sz w:val="32"/>
          <w:szCs w:val="32"/>
        </w:rPr>
        <w:lastRenderedPageBreak/>
        <w:t>（九）机关运行经费：指为保障行政单位（包括参照公务员法管理的事业单位）运行用于购买货物和服务的各项资金，包括办公及印刷费、邮电费、差旅费、会议费、福利费、日常维修费</w:t>
      </w:r>
      <w:r>
        <w:rPr>
          <w:rFonts w:ascii="仿宋" w:eastAsia="仿宋" w:hAnsi="仿宋" w:cs="宋体"/>
          <w:color w:val="484747"/>
          <w:kern w:val="0"/>
          <w:sz w:val="32"/>
          <w:szCs w:val="32"/>
        </w:rPr>
        <w:t>、专用材料以及一般设备购置费、办公用房水电费、办公用房取暖费、办公用房物业管理费、公务用车运行维护费以及其他费用。</w:t>
      </w:r>
    </w:p>
    <w:p w:rsidR="00000CB6" w:rsidRDefault="00000CB6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000CB6" w:rsidSect="00000CB6">
      <w:pgSz w:w="16838" w:h="11906" w:orient="landscape"/>
      <w:pgMar w:top="1418" w:right="1701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CA"/>
    <w:multiLevelType w:val="singleLevel"/>
    <w:tmpl w:val="0AFA49CA"/>
    <w:lvl w:ilvl="0">
      <w:start w:val="9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487"/>
    <w:rsid w:val="00000CB6"/>
    <w:rsid w:val="0007629E"/>
    <w:rsid w:val="000E08C2"/>
    <w:rsid w:val="000F55D2"/>
    <w:rsid w:val="00164E5D"/>
    <w:rsid w:val="0026443A"/>
    <w:rsid w:val="00384818"/>
    <w:rsid w:val="003E4496"/>
    <w:rsid w:val="00407516"/>
    <w:rsid w:val="004B2895"/>
    <w:rsid w:val="004F165A"/>
    <w:rsid w:val="005B0B55"/>
    <w:rsid w:val="00616458"/>
    <w:rsid w:val="006F585B"/>
    <w:rsid w:val="0088116B"/>
    <w:rsid w:val="00881487"/>
    <w:rsid w:val="008C66E7"/>
    <w:rsid w:val="00A5749A"/>
    <w:rsid w:val="00A75574"/>
    <w:rsid w:val="00AE0D73"/>
    <w:rsid w:val="00B02C5B"/>
    <w:rsid w:val="00B278B6"/>
    <w:rsid w:val="00BD4237"/>
    <w:rsid w:val="00C14A6C"/>
    <w:rsid w:val="00D0115D"/>
    <w:rsid w:val="00DE0561"/>
    <w:rsid w:val="00E00A77"/>
    <w:rsid w:val="00E401A7"/>
    <w:rsid w:val="00E43A51"/>
    <w:rsid w:val="00F54E7F"/>
    <w:rsid w:val="00F84A1E"/>
    <w:rsid w:val="00F87E7F"/>
    <w:rsid w:val="225344D3"/>
    <w:rsid w:val="3B85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0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0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00C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000CB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00C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AB667-4603-4460-82C3-DF4FBF23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2019-01-25T07:54:00Z</dcterms:created>
  <dcterms:modified xsi:type="dcterms:W3CDTF">2019-03-06T00:49:00Z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