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color w:val="002060"/>
          <w:sz w:val="84"/>
          <w:szCs w:val="84"/>
        </w:rPr>
      </w:pPr>
      <w:r>
        <w:rPr>
          <w:color w:val="002060"/>
          <w:sz w:val="84"/>
          <w:szCs w:val="84"/>
        </w:rPr>
        <w:t>2017年度部门决算公开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b/>
          <w:sz w:val="44"/>
          <w:szCs w:val="44"/>
        </w:rPr>
      </w:pPr>
      <w:r>
        <w:rPr>
          <w:b/>
          <w:sz w:val="44"/>
          <w:szCs w:val="44"/>
        </w:rPr>
        <w:t>廊坊市</w:t>
      </w:r>
      <w:r>
        <w:rPr>
          <w:rFonts w:hint="eastAsia"/>
          <w:b/>
          <w:sz w:val="44"/>
          <w:szCs w:val="44"/>
        </w:rPr>
        <w:t>大城县权村镇人民政府</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ind w:firstLine="640" w:firstLineChars="200"/>
        <w:rPr>
          <w:rFonts w:eastAsia="仿宋_GB2312"/>
          <w:sz w:val="24"/>
          <w:szCs w:val="32"/>
        </w:rPr>
      </w:pPr>
      <w:r>
        <w:rPr>
          <w:rFonts w:eastAsia="黑体"/>
          <w:sz w:val="32"/>
          <w:szCs w:val="32"/>
        </w:rPr>
        <w:t xml:space="preserve">第一部分   </w:t>
      </w:r>
      <w:r>
        <w:rPr>
          <w:rFonts w:hint="eastAsia" w:ascii="Calibri" w:hAnsi="Calibri" w:eastAsia="黑体"/>
          <w:sz w:val="32"/>
          <w:szCs w:val="32"/>
        </w:rPr>
        <w:t>权村镇人民政府</w:t>
      </w:r>
      <w:r>
        <w:rPr>
          <w:rFonts w:eastAsia="黑体"/>
          <w:sz w:val="32"/>
          <w:szCs w:val="32"/>
        </w:rPr>
        <w:t>部门概况</w:t>
      </w:r>
    </w:p>
    <w:p>
      <w:pPr>
        <w:spacing w:line="584" w:lineRule="exact"/>
        <w:ind w:firstLine="1273" w:firstLineChars="398"/>
        <w:rPr>
          <w:rFonts w:ascii="仿宋" w:hAnsi="仿宋" w:eastAsia="仿宋"/>
          <w:sz w:val="32"/>
          <w:szCs w:val="32"/>
        </w:rPr>
      </w:pPr>
      <w:r>
        <w:rPr>
          <w:rFonts w:ascii="仿宋" w:hAnsi="仿宋" w:eastAsia="仿宋"/>
          <w:sz w:val="32"/>
          <w:szCs w:val="32"/>
        </w:rPr>
        <w:t>一、部门职责</w:t>
      </w:r>
    </w:p>
    <w:p>
      <w:pPr>
        <w:spacing w:line="584" w:lineRule="exact"/>
        <w:ind w:firstLine="1273" w:firstLineChars="398"/>
        <w:rPr>
          <w:rFonts w:ascii="仿宋" w:hAnsi="仿宋" w:eastAsia="仿宋"/>
          <w:sz w:val="32"/>
          <w:szCs w:val="32"/>
        </w:rPr>
      </w:pPr>
      <w:r>
        <w:rPr>
          <w:rFonts w:ascii="仿宋" w:hAnsi="仿宋" w:eastAsia="仿宋"/>
          <w:sz w:val="32"/>
          <w:szCs w:val="32"/>
        </w:rPr>
        <w:t>二、部门决算单位构成</w:t>
      </w:r>
    </w:p>
    <w:p>
      <w:pPr>
        <w:spacing w:line="584" w:lineRule="exact"/>
        <w:ind w:firstLine="640" w:firstLineChars="200"/>
        <w:rPr>
          <w:rFonts w:eastAsia="仿宋_GB2312"/>
          <w:sz w:val="20"/>
          <w:szCs w:val="32"/>
        </w:rPr>
      </w:pPr>
      <w:r>
        <w:rPr>
          <w:rFonts w:eastAsia="黑体"/>
          <w:sz w:val="32"/>
          <w:szCs w:val="32"/>
        </w:rPr>
        <w:t xml:space="preserve">第二部分   </w:t>
      </w:r>
      <w:r>
        <w:rPr>
          <w:rFonts w:hint="eastAsia" w:ascii="Calibri" w:hAnsi="Calibri" w:eastAsia="黑体"/>
          <w:sz w:val="32"/>
          <w:szCs w:val="32"/>
        </w:rPr>
        <w:t>权村镇人民政府</w:t>
      </w:r>
      <w:r>
        <w:rPr>
          <w:rFonts w:eastAsia="黑体"/>
          <w:sz w:val="32"/>
          <w:szCs w:val="32"/>
        </w:rPr>
        <w:t>2017年度部门决算报表</w:t>
      </w:r>
    </w:p>
    <w:p>
      <w:pPr>
        <w:spacing w:line="584" w:lineRule="exact"/>
        <w:ind w:firstLine="1273" w:firstLineChars="398"/>
        <w:rPr>
          <w:rFonts w:ascii="仿宋" w:hAnsi="仿宋" w:eastAsia="仿宋"/>
          <w:sz w:val="32"/>
          <w:szCs w:val="32"/>
        </w:rPr>
      </w:pPr>
      <w:r>
        <w:rPr>
          <w:rFonts w:ascii="仿宋" w:hAnsi="仿宋" w:eastAsia="仿宋"/>
          <w:sz w:val="32"/>
          <w:szCs w:val="32"/>
        </w:rPr>
        <w:t>一、收入支出决算总表</w:t>
      </w:r>
    </w:p>
    <w:p>
      <w:pPr>
        <w:spacing w:line="584" w:lineRule="exact"/>
        <w:ind w:firstLine="1273" w:firstLineChars="398"/>
        <w:rPr>
          <w:rFonts w:ascii="仿宋" w:hAnsi="仿宋" w:eastAsia="仿宋"/>
          <w:sz w:val="32"/>
          <w:szCs w:val="32"/>
        </w:rPr>
      </w:pPr>
      <w:r>
        <w:rPr>
          <w:rFonts w:ascii="仿宋" w:hAnsi="仿宋" w:eastAsia="仿宋"/>
          <w:sz w:val="32"/>
          <w:szCs w:val="32"/>
        </w:rPr>
        <w:t>二、收入决算表</w:t>
      </w:r>
    </w:p>
    <w:p>
      <w:pPr>
        <w:spacing w:line="584" w:lineRule="exact"/>
        <w:ind w:firstLine="1273" w:firstLineChars="398"/>
        <w:rPr>
          <w:rFonts w:ascii="仿宋" w:hAnsi="仿宋" w:eastAsia="仿宋"/>
          <w:sz w:val="32"/>
          <w:szCs w:val="32"/>
        </w:rPr>
      </w:pPr>
      <w:r>
        <w:rPr>
          <w:rFonts w:ascii="仿宋" w:hAnsi="仿宋" w:eastAsia="仿宋"/>
          <w:sz w:val="32"/>
          <w:szCs w:val="32"/>
        </w:rPr>
        <w:t>三、支出决算表</w:t>
      </w:r>
    </w:p>
    <w:p>
      <w:pPr>
        <w:spacing w:line="584" w:lineRule="exact"/>
        <w:ind w:firstLine="1273" w:firstLineChars="398"/>
        <w:rPr>
          <w:rFonts w:ascii="仿宋" w:hAnsi="仿宋" w:eastAsia="仿宋"/>
          <w:sz w:val="32"/>
          <w:szCs w:val="32"/>
        </w:rPr>
      </w:pPr>
      <w:r>
        <w:rPr>
          <w:rFonts w:ascii="仿宋" w:hAnsi="仿宋" w:eastAsia="仿宋"/>
          <w:sz w:val="32"/>
          <w:szCs w:val="32"/>
        </w:rPr>
        <w:t>四、财政拨款收入支出决算总表</w:t>
      </w:r>
    </w:p>
    <w:p>
      <w:pPr>
        <w:spacing w:line="584" w:lineRule="exact"/>
        <w:ind w:firstLine="1273" w:firstLineChars="398"/>
        <w:rPr>
          <w:rFonts w:ascii="仿宋" w:hAnsi="仿宋" w:eastAsia="仿宋"/>
          <w:sz w:val="32"/>
          <w:szCs w:val="32"/>
        </w:rPr>
      </w:pPr>
      <w:r>
        <w:rPr>
          <w:rFonts w:ascii="仿宋" w:hAnsi="仿宋" w:eastAsia="仿宋"/>
          <w:sz w:val="32"/>
          <w:szCs w:val="32"/>
        </w:rPr>
        <w:t>五、一般公共预算财政拨款收入支出决算表</w:t>
      </w:r>
    </w:p>
    <w:p>
      <w:pPr>
        <w:spacing w:line="584" w:lineRule="exact"/>
        <w:ind w:firstLine="1273" w:firstLineChars="398"/>
        <w:rPr>
          <w:rFonts w:ascii="仿宋" w:hAnsi="仿宋" w:eastAsia="仿宋"/>
          <w:sz w:val="32"/>
          <w:szCs w:val="32"/>
        </w:rPr>
      </w:pPr>
      <w:r>
        <w:rPr>
          <w:rFonts w:ascii="仿宋" w:hAnsi="仿宋" w:eastAsia="仿宋"/>
          <w:sz w:val="32"/>
          <w:szCs w:val="32"/>
        </w:rPr>
        <w:t>六、一般公共预算财政拨款基本支出决算表</w:t>
      </w:r>
    </w:p>
    <w:p>
      <w:pPr>
        <w:spacing w:line="584" w:lineRule="exact"/>
        <w:ind w:firstLine="1273" w:firstLineChars="398"/>
        <w:rPr>
          <w:rFonts w:ascii="仿宋" w:hAnsi="仿宋" w:eastAsia="仿宋"/>
          <w:sz w:val="32"/>
          <w:szCs w:val="32"/>
        </w:rPr>
      </w:pPr>
      <w:r>
        <w:rPr>
          <w:rFonts w:ascii="仿宋" w:hAnsi="仿宋" w:eastAsia="仿宋"/>
          <w:sz w:val="32"/>
          <w:szCs w:val="32"/>
        </w:rPr>
        <w:t>七、政府性基金预算财政拨款收入支出决算表</w:t>
      </w:r>
    </w:p>
    <w:p>
      <w:pPr>
        <w:spacing w:line="584" w:lineRule="exact"/>
        <w:ind w:firstLine="1273" w:firstLineChars="398"/>
        <w:rPr>
          <w:rFonts w:ascii="仿宋" w:hAnsi="仿宋" w:eastAsia="仿宋"/>
          <w:sz w:val="32"/>
          <w:szCs w:val="32"/>
        </w:rPr>
      </w:pPr>
      <w:r>
        <w:rPr>
          <w:rFonts w:ascii="仿宋" w:hAnsi="仿宋" w:eastAsia="仿宋"/>
          <w:sz w:val="32"/>
          <w:szCs w:val="32"/>
        </w:rPr>
        <w:t>八、国有资本经营预算财政拨款收入支出决算表</w:t>
      </w:r>
    </w:p>
    <w:p>
      <w:pPr>
        <w:spacing w:line="584" w:lineRule="exact"/>
        <w:ind w:firstLine="1273" w:firstLineChars="398"/>
        <w:rPr>
          <w:rFonts w:ascii="仿宋" w:hAnsi="仿宋" w:eastAsia="仿宋"/>
          <w:sz w:val="32"/>
          <w:szCs w:val="32"/>
        </w:rPr>
      </w:pPr>
      <w:r>
        <w:rPr>
          <w:rFonts w:ascii="仿宋" w:hAnsi="仿宋" w:eastAsia="仿宋"/>
          <w:sz w:val="32"/>
          <w:szCs w:val="32"/>
        </w:rPr>
        <w:t>九、“三公”经费及相关信息统计表</w:t>
      </w:r>
    </w:p>
    <w:p>
      <w:pPr>
        <w:spacing w:line="584" w:lineRule="exact"/>
        <w:ind w:firstLine="1273" w:firstLineChars="398"/>
        <w:rPr>
          <w:rFonts w:ascii="仿宋" w:hAnsi="仿宋" w:eastAsia="仿宋"/>
          <w:sz w:val="32"/>
          <w:szCs w:val="32"/>
        </w:rPr>
      </w:pPr>
      <w:r>
        <w:rPr>
          <w:rFonts w:ascii="仿宋" w:hAnsi="仿宋" w:eastAsia="仿宋"/>
          <w:sz w:val="32"/>
          <w:szCs w:val="32"/>
        </w:rPr>
        <w:t>十、政府采购情况表</w:t>
      </w:r>
    </w:p>
    <w:p>
      <w:pPr>
        <w:spacing w:line="584" w:lineRule="exact"/>
        <w:ind w:firstLine="640" w:firstLineChars="200"/>
        <w:rPr>
          <w:rFonts w:eastAsia="黑体"/>
          <w:sz w:val="32"/>
          <w:szCs w:val="32"/>
        </w:rPr>
      </w:pPr>
      <w:r>
        <w:rPr>
          <w:rFonts w:eastAsia="黑体"/>
          <w:sz w:val="32"/>
          <w:szCs w:val="32"/>
        </w:rPr>
        <w:t xml:space="preserve">第三部分  </w:t>
      </w:r>
      <w:r>
        <w:rPr>
          <w:rFonts w:hint="eastAsia" w:ascii="Calibri" w:hAnsi="Calibri" w:eastAsia="黑体"/>
          <w:sz w:val="32"/>
          <w:szCs w:val="32"/>
        </w:rPr>
        <w:t>权村镇人民政府</w:t>
      </w:r>
      <w:r>
        <w:rPr>
          <w:rFonts w:eastAsia="黑体"/>
          <w:sz w:val="32"/>
          <w:szCs w:val="32"/>
        </w:rPr>
        <w:t>2017年部门决算情况说明</w:t>
      </w:r>
    </w:p>
    <w:p>
      <w:pPr>
        <w:spacing w:line="584" w:lineRule="exact"/>
        <w:ind w:firstLine="1273" w:firstLineChars="398"/>
        <w:rPr>
          <w:rFonts w:ascii="仿宋" w:hAnsi="仿宋" w:eastAsia="仿宋"/>
          <w:sz w:val="32"/>
          <w:szCs w:val="32"/>
        </w:rPr>
      </w:pPr>
      <w:r>
        <w:rPr>
          <w:rFonts w:ascii="仿宋" w:hAnsi="仿宋" w:eastAsia="仿宋"/>
          <w:sz w:val="32"/>
          <w:szCs w:val="32"/>
        </w:rPr>
        <w:t>一、收入支出决算总体情况说明</w:t>
      </w:r>
    </w:p>
    <w:p>
      <w:pPr>
        <w:spacing w:line="584" w:lineRule="exact"/>
        <w:ind w:firstLine="1273" w:firstLineChars="398"/>
        <w:rPr>
          <w:rFonts w:ascii="仿宋" w:hAnsi="仿宋" w:eastAsia="仿宋"/>
          <w:sz w:val="32"/>
          <w:szCs w:val="32"/>
        </w:rPr>
      </w:pPr>
      <w:r>
        <w:rPr>
          <w:rFonts w:ascii="仿宋" w:hAnsi="仿宋" w:eastAsia="仿宋"/>
          <w:sz w:val="32"/>
          <w:szCs w:val="32"/>
        </w:rPr>
        <w:t>二、收入决算情况说明</w:t>
      </w:r>
    </w:p>
    <w:p>
      <w:pPr>
        <w:spacing w:line="584" w:lineRule="exact"/>
        <w:ind w:firstLine="1273" w:firstLineChars="398"/>
        <w:rPr>
          <w:rFonts w:ascii="仿宋" w:hAnsi="仿宋" w:eastAsia="仿宋"/>
          <w:sz w:val="32"/>
          <w:szCs w:val="32"/>
        </w:rPr>
      </w:pPr>
      <w:r>
        <w:rPr>
          <w:rFonts w:ascii="仿宋" w:hAnsi="仿宋" w:eastAsia="仿宋"/>
          <w:sz w:val="32"/>
          <w:szCs w:val="32"/>
        </w:rPr>
        <w:t>三、支出决算情况说明</w:t>
      </w:r>
    </w:p>
    <w:p>
      <w:pPr>
        <w:spacing w:line="584" w:lineRule="exact"/>
        <w:ind w:firstLine="1273" w:firstLineChars="398"/>
        <w:rPr>
          <w:rFonts w:ascii="仿宋" w:hAnsi="仿宋" w:eastAsia="仿宋"/>
          <w:sz w:val="32"/>
          <w:szCs w:val="32"/>
        </w:rPr>
      </w:pPr>
      <w:r>
        <w:rPr>
          <w:rFonts w:ascii="仿宋" w:hAnsi="仿宋" w:eastAsia="仿宋"/>
          <w:sz w:val="32"/>
          <w:szCs w:val="32"/>
        </w:rPr>
        <w:t>四、财政拨款收入支出决算总体情况说明</w:t>
      </w:r>
    </w:p>
    <w:p>
      <w:pPr>
        <w:spacing w:line="584" w:lineRule="exact"/>
        <w:ind w:firstLine="1273" w:firstLineChars="398"/>
        <w:rPr>
          <w:rFonts w:ascii="仿宋" w:hAnsi="仿宋" w:eastAsia="仿宋"/>
          <w:sz w:val="32"/>
          <w:szCs w:val="32"/>
        </w:rPr>
      </w:pPr>
      <w:r>
        <w:rPr>
          <w:rFonts w:ascii="仿宋" w:hAnsi="仿宋" w:eastAsia="仿宋"/>
          <w:sz w:val="32"/>
          <w:szCs w:val="32"/>
        </w:rPr>
        <w:t>五、一般公共预算财政拨款“三公”经费支出决算情况说明</w:t>
      </w:r>
    </w:p>
    <w:p>
      <w:pPr>
        <w:spacing w:line="584" w:lineRule="exact"/>
        <w:ind w:firstLine="1273" w:firstLineChars="398"/>
        <w:rPr>
          <w:rFonts w:ascii="仿宋" w:hAnsi="仿宋" w:eastAsia="仿宋"/>
          <w:sz w:val="32"/>
          <w:szCs w:val="32"/>
        </w:rPr>
      </w:pPr>
      <w:r>
        <w:rPr>
          <w:rFonts w:ascii="仿宋" w:hAnsi="仿宋" w:eastAsia="仿宋"/>
          <w:sz w:val="32"/>
          <w:szCs w:val="32"/>
        </w:rPr>
        <w:t>六、预算绩效管理工作开展情况说明</w:t>
      </w:r>
    </w:p>
    <w:p>
      <w:pPr>
        <w:spacing w:line="584" w:lineRule="exact"/>
        <w:ind w:firstLine="1273" w:firstLineChars="398"/>
        <w:rPr>
          <w:rFonts w:ascii="仿宋" w:hAnsi="仿宋" w:eastAsia="仿宋"/>
          <w:sz w:val="32"/>
          <w:szCs w:val="32"/>
        </w:rPr>
      </w:pPr>
      <w:r>
        <w:rPr>
          <w:rFonts w:ascii="仿宋" w:hAnsi="仿宋" w:eastAsia="仿宋"/>
          <w:sz w:val="32"/>
          <w:szCs w:val="32"/>
        </w:rPr>
        <w:t>七、其他重要事项的说明</w:t>
      </w:r>
    </w:p>
    <w:p>
      <w:pPr>
        <w:spacing w:line="584" w:lineRule="exact"/>
        <w:ind w:firstLine="1753" w:firstLineChars="548"/>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一</w:t>
      </w:r>
      <w:r>
        <w:rPr>
          <w:rFonts w:hint="eastAsia" w:ascii="仿宋" w:hAnsi="仿宋" w:eastAsia="仿宋"/>
          <w:sz w:val="32"/>
          <w:szCs w:val="32"/>
        </w:rPr>
        <w:t>）</w:t>
      </w:r>
      <w:r>
        <w:rPr>
          <w:rFonts w:ascii="仿宋" w:hAnsi="仿宋" w:eastAsia="仿宋"/>
          <w:sz w:val="32"/>
          <w:szCs w:val="32"/>
        </w:rPr>
        <w:t>机关运行经费情况</w:t>
      </w:r>
    </w:p>
    <w:p>
      <w:pPr>
        <w:spacing w:line="584" w:lineRule="exact"/>
        <w:ind w:firstLine="1753" w:firstLineChars="548"/>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二</w:t>
      </w:r>
      <w:r>
        <w:rPr>
          <w:rFonts w:hint="eastAsia" w:ascii="仿宋" w:hAnsi="仿宋" w:eastAsia="仿宋"/>
          <w:sz w:val="32"/>
          <w:szCs w:val="32"/>
        </w:rPr>
        <w:t>）</w:t>
      </w:r>
      <w:r>
        <w:rPr>
          <w:rFonts w:ascii="仿宋" w:hAnsi="仿宋" w:eastAsia="仿宋"/>
          <w:sz w:val="32"/>
          <w:szCs w:val="32"/>
        </w:rPr>
        <w:t xml:space="preserve"> 政府采购情况</w:t>
      </w:r>
    </w:p>
    <w:p>
      <w:pPr>
        <w:spacing w:line="584" w:lineRule="exact"/>
        <w:ind w:firstLine="1753" w:firstLineChars="548"/>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三</w:t>
      </w:r>
      <w:r>
        <w:rPr>
          <w:rFonts w:hint="eastAsia" w:ascii="仿宋" w:hAnsi="仿宋" w:eastAsia="仿宋"/>
          <w:sz w:val="32"/>
          <w:szCs w:val="32"/>
        </w:rPr>
        <w:t>）</w:t>
      </w:r>
      <w:r>
        <w:rPr>
          <w:rFonts w:ascii="仿宋" w:hAnsi="仿宋" w:eastAsia="仿宋"/>
          <w:sz w:val="32"/>
          <w:szCs w:val="32"/>
        </w:rPr>
        <w:t xml:space="preserve"> 国有资产占用情况</w:t>
      </w:r>
    </w:p>
    <w:p>
      <w:pPr>
        <w:spacing w:line="584" w:lineRule="exact"/>
        <w:ind w:firstLine="1753" w:firstLineChars="548"/>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四</w:t>
      </w:r>
      <w:r>
        <w:rPr>
          <w:rFonts w:hint="eastAsia" w:ascii="仿宋" w:hAnsi="仿宋" w:eastAsia="仿宋"/>
          <w:sz w:val="32"/>
          <w:szCs w:val="32"/>
        </w:rPr>
        <w:t>）</w:t>
      </w:r>
      <w:r>
        <w:rPr>
          <w:rFonts w:ascii="仿宋" w:hAnsi="仿宋" w:eastAsia="仿宋"/>
          <w:sz w:val="32"/>
          <w:szCs w:val="32"/>
        </w:rPr>
        <w:t xml:space="preserve"> 其他需要说明的情况</w:t>
      </w:r>
    </w:p>
    <w:p>
      <w:pPr>
        <w:spacing w:line="584" w:lineRule="exact"/>
        <w:ind w:firstLine="640" w:firstLineChars="200"/>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第一部分 部门概况</w:t>
      </w:r>
    </w:p>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一、部门职责</w:t>
      </w:r>
    </w:p>
    <w:p>
      <w:pPr>
        <w:spacing w:line="566" w:lineRule="exact"/>
        <w:ind w:firstLine="560"/>
        <w:rPr>
          <w:rFonts w:ascii="仿宋" w:hAnsi="仿宋" w:eastAsia="仿宋" w:cs="仿宋"/>
          <w:sz w:val="32"/>
          <w:szCs w:val="32"/>
        </w:rPr>
      </w:pPr>
      <w:r>
        <w:rPr>
          <w:rFonts w:hint="eastAsia" w:ascii="仿宋" w:hAnsi="仿宋" w:eastAsia="仿宋" w:cs="仿宋"/>
          <w:sz w:val="32"/>
          <w:szCs w:val="32"/>
        </w:rPr>
        <w:t>根据《大城县权村镇人民政府职能配置、内设机构和人员编制方案》规定，大城县权村镇人民政府的主要职责是：贯彻执行党的路线、方针、政策和国家法律法规，贯彻执行上级机关的决议、命令及同级党委的决定，执行乡镇人民代表大会的决议，负责辖区内行政执法工作，维护社会秩序，保护公民人身、民主、财产等合法权利，保护各种经济组织的合法权益。</w:t>
      </w:r>
    </w:p>
    <w:p>
      <w:pPr>
        <w:spacing w:line="566" w:lineRule="exact"/>
        <w:ind w:firstLine="560"/>
        <w:rPr>
          <w:rFonts w:ascii="仿宋" w:hAnsi="仿宋" w:eastAsia="仿宋" w:cs="仿宋"/>
          <w:sz w:val="32"/>
          <w:szCs w:val="32"/>
        </w:rPr>
      </w:pPr>
      <w:r>
        <w:rPr>
          <w:rFonts w:hint="eastAsia" w:ascii="仿宋" w:hAnsi="仿宋" w:eastAsia="仿宋" w:cs="仿宋"/>
          <w:sz w:val="32"/>
          <w:szCs w:val="32"/>
        </w:rPr>
        <w:t>1、党委：负责贯彻、执行党的路线、方针、政策、法律、法规和上级党委、政府、镇党委的指示、决定、决议。</w:t>
      </w:r>
    </w:p>
    <w:p>
      <w:pPr>
        <w:spacing w:line="566" w:lineRule="exact"/>
        <w:ind w:firstLine="560"/>
        <w:rPr>
          <w:rFonts w:ascii="仿宋" w:hAnsi="仿宋" w:eastAsia="仿宋" w:cs="仿宋"/>
          <w:sz w:val="32"/>
          <w:szCs w:val="32"/>
        </w:rPr>
      </w:pPr>
      <w:r>
        <w:rPr>
          <w:rFonts w:hint="eastAsia" w:ascii="仿宋" w:hAnsi="仿宋" w:eastAsia="仿宋" w:cs="仿宋"/>
          <w:sz w:val="32"/>
          <w:szCs w:val="32"/>
        </w:rPr>
        <w:t>2、政府：负责全镇的经济建设、计划统筹、人事劳动、财政、统计、乡镇企业管理、劳务管理和信访工作。</w:t>
      </w:r>
    </w:p>
    <w:p>
      <w:pPr>
        <w:spacing w:line="566" w:lineRule="exact"/>
        <w:ind w:firstLine="560"/>
        <w:rPr>
          <w:rFonts w:ascii="仿宋" w:hAnsi="仿宋" w:eastAsia="仿宋" w:cs="仿宋"/>
          <w:sz w:val="32"/>
          <w:szCs w:val="32"/>
        </w:rPr>
      </w:pPr>
      <w:r>
        <w:rPr>
          <w:rFonts w:hint="eastAsia" w:ascii="仿宋" w:hAnsi="仿宋" w:eastAsia="仿宋" w:cs="仿宋"/>
          <w:sz w:val="32"/>
          <w:szCs w:val="32"/>
        </w:rPr>
        <w:t>3、人大：负责全镇人大各方面工作。</w:t>
      </w:r>
    </w:p>
    <w:p>
      <w:pPr>
        <w:spacing w:line="566" w:lineRule="exact"/>
        <w:ind w:firstLine="560"/>
        <w:rPr>
          <w:rFonts w:ascii="仿宋" w:hAnsi="仿宋" w:eastAsia="仿宋" w:cs="仿宋"/>
          <w:sz w:val="32"/>
          <w:szCs w:val="32"/>
        </w:rPr>
      </w:pPr>
      <w:r>
        <w:rPr>
          <w:rFonts w:hint="eastAsia" w:ascii="仿宋" w:hAnsi="仿宋" w:eastAsia="仿宋" w:cs="仿宋"/>
          <w:sz w:val="32"/>
          <w:szCs w:val="32"/>
        </w:rPr>
        <w:t>4、财政：负责乡镇财政收支、预决算的编制执行、财政资金使用监管、国有资产管理工作、各项惠农补贴发放工作。</w:t>
      </w:r>
    </w:p>
    <w:p>
      <w:pPr>
        <w:spacing w:line="566" w:lineRule="exact"/>
        <w:ind w:firstLine="560"/>
        <w:rPr>
          <w:rFonts w:ascii="仿宋" w:hAnsi="仿宋" w:eastAsia="仿宋" w:cs="仿宋"/>
          <w:sz w:val="32"/>
          <w:szCs w:val="32"/>
        </w:rPr>
      </w:pPr>
      <w:r>
        <w:rPr>
          <w:rFonts w:hint="eastAsia" w:ascii="仿宋" w:hAnsi="仿宋" w:eastAsia="仿宋" w:cs="仿宋"/>
          <w:sz w:val="32"/>
          <w:szCs w:val="32"/>
        </w:rPr>
        <w:t>5、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spacing w:line="566" w:lineRule="exact"/>
        <w:ind w:firstLine="560"/>
        <w:rPr>
          <w:rFonts w:ascii="仿宋" w:hAnsi="仿宋" w:eastAsia="仿宋" w:cs="仿宋"/>
          <w:sz w:val="32"/>
          <w:szCs w:val="32"/>
        </w:rPr>
      </w:pPr>
      <w:r>
        <w:rPr>
          <w:rFonts w:hint="eastAsia" w:ascii="仿宋" w:hAnsi="仿宋" w:eastAsia="仿宋" w:cs="仿宋"/>
          <w:sz w:val="32"/>
          <w:szCs w:val="32"/>
        </w:rPr>
        <w:t>6、农业：负责全镇的科学发展技术工作、农业综合开发工作、农村经济工作、林业工作。</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二、部门决算单位构成</w:t>
      </w:r>
    </w:p>
    <w:p>
      <w:pPr>
        <w:autoSpaceDE w:val="0"/>
        <w:autoSpaceDN w:val="0"/>
        <w:adjustRightInd w:val="0"/>
        <w:spacing w:line="584" w:lineRule="exact"/>
        <w:ind w:firstLine="640" w:firstLineChars="200"/>
        <w:jc w:val="left"/>
        <w:rPr>
          <w:rFonts w:ascii="仿宋" w:hAnsi="仿宋" w:eastAsia="仿宋"/>
          <w:kern w:val="0"/>
          <w:sz w:val="32"/>
          <w:szCs w:val="32"/>
        </w:rPr>
      </w:pPr>
      <w:r>
        <w:rPr>
          <w:rFonts w:ascii="仿宋" w:hAnsi="仿宋" w:eastAsia="仿宋"/>
          <w:kern w:val="0"/>
          <w:sz w:val="32"/>
          <w:szCs w:val="32"/>
        </w:rPr>
        <w:t>2017年度，纳入本部门决算汇编范围的独立核算单位（以下简称“单位”）共</w:t>
      </w:r>
      <w:r>
        <w:rPr>
          <w:rFonts w:hint="eastAsia" w:ascii="仿宋" w:hAnsi="仿宋" w:eastAsia="仿宋"/>
          <w:kern w:val="0"/>
          <w:sz w:val="32"/>
          <w:szCs w:val="32"/>
        </w:rPr>
        <w:t>7</w:t>
      </w:r>
      <w:r>
        <w:rPr>
          <w:rFonts w:ascii="仿宋" w:hAnsi="仿宋" w:eastAsia="仿宋"/>
          <w:kern w:val="0"/>
          <w:sz w:val="32"/>
          <w:szCs w:val="32"/>
        </w:rPr>
        <w:t>个，分别是</w:t>
      </w:r>
      <w:r>
        <w:rPr>
          <w:rFonts w:hint="eastAsia" w:ascii="仿宋" w:hAnsi="仿宋" w:eastAsia="仿宋"/>
          <w:kern w:val="0"/>
          <w:sz w:val="32"/>
          <w:szCs w:val="32"/>
        </w:rPr>
        <w:t>:</w:t>
      </w:r>
    </w:p>
    <w:tbl>
      <w:tblPr>
        <w:tblStyle w:val="8"/>
        <w:tblpPr w:leftFromText="180" w:rightFromText="180" w:vertAnchor="text" w:horzAnchor="page" w:tblpX="1797" w:tblpY="530"/>
        <w:tblOverlap w:val="never"/>
        <w:tblW w:w="8622" w:type="dxa"/>
        <w:tblInd w:w="0" w:type="dxa"/>
        <w:tblLayout w:type="fixed"/>
        <w:tblCellMar>
          <w:top w:w="0" w:type="dxa"/>
          <w:left w:w="108" w:type="dxa"/>
          <w:bottom w:w="0" w:type="dxa"/>
          <w:right w:w="108" w:type="dxa"/>
        </w:tblCellMar>
      </w:tblPr>
      <w:tblGrid>
        <w:gridCol w:w="2138"/>
        <w:gridCol w:w="1503"/>
        <w:gridCol w:w="1681"/>
        <w:gridCol w:w="3300"/>
      </w:tblGrid>
      <w:tr>
        <w:tblPrEx>
          <w:tblLayout w:type="fixed"/>
          <w:tblCellMar>
            <w:top w:w="0" w:type="dxa"/>
            <w:left w:w="108" w:type="dxa"/>
            <w:bottom w:w="0" w:type="dxa"/>
            <w:right w:w="108" w:type="dxa"/>
          </w:tblCellMar>
        </w:tblPrEx>
        <w:trPr>
          <w:trHeight w:val="624" w:hRule="atLeast"/>
        </w:trPr>
        <w:tc>
          <w:tcPr>
            <w:tcW w:w="2138" w:type="dxa"/>
            <w:vMerge w:val="restart"/>
            <w:tcBorders>
              <w:top w:val="single" w:color="000000" w:sz="8" w:space="0"/>
              <w:left w:val="single" w:color="000000" w:sz="8" w:space="0"/>
              <w:bottom w:val="single" w:color="000000" w:sz="8" w:space="0"/>
              <w:right w:val="single" w:color="000000" w:sz="8" w:space="0"/>
            </w:tcBorders>
            <w:vAlign w:val="bottom"/>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单位名称</w:t>
            </w:r>
          </w:p>
        </w:tc>
        <w:tc>
          <w:tcPr>
            <w:tcW w:w="1503" w:type="dxa"/>
            <w:vMerge w:val="restart"/>
            <w:tcBorders>
              <w:top w:val="single" w:color="000000" w:sz="8" w:space="0"/>
              <w:left w:val="single" w:color="000000" w:sz="8" w:space="0"/>
              <w:bottom w:val="single" w:color="000000" w:sz="8" w:space="0"/>
              <w:right w:val="single" w:color="000000" w:sz="8" w:space="0"/>
            </w:tcBorders>
            <w:vAlign w:val="bottom"/>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单位性质</w:t>
            </w:r>
          </w:p>
        </w:tc>
        <w:tc>
          <w:tcPr>
            <w:tcW w:w="1681" w:type="dxa"/>
            <w:vMerge w:val="restart"/>
            <w:tcBorders>
              <w:top w:val="single" w:color="000000" w:sz="8" w:space="0"/>
              <w:left w:val="single" w:color="000000" w:sz="8" w:space="0"/>
              <w:bottom w:val="single" w:color="000000" w:sz="8" w:space="0"/>
              <w:right w:val="single" w:color="000000" w:sz="8" w:space="0"/>
            </w:tcBorders>
            <w:vAlign w:val="bottom"/>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单位规格</w:t>
            </w:r>
          </w:p>
        </w:tc>
        <w:tc>
          <w:tcPr>
            <w:tcW w:w="3300" w:type="dxa"/>
            <w:vMerge w:val="restart"/>
            <w:tcBorders>
              <w:top w:val="single" w:color="000000" w:sz="8" w:space="0"/>
              <w:left w:val="single" w:color="000000" w:sz="8" w:space="0"/>
              <w:bottom w:val="single" w:color="000000" w:sz="8" w:space="0"/>
              <w:right w:val="single" w:color="000000" w:sz="8" w:space="0"/>
            </w:tcBorders>
            <w:vAlign w:val="bottom"/>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经费保障形式</w:t>
            </w:r>
          </w:p>
        </w:tc>
      </w:tr>
      <w:tr>
        <w:tblPrEx>
          <w:tblLayout w:type="fixed"/>
          <w:tblCellMar>
            <w:top w:w="0" w:type="dxa"/>
            <w:left w:w="108" w:type="dxa"/>
            <w:bottom w:w="0" w:type="dxa"/>
            <w:right w:w="108" w:type="dxa"/>
          </w:tblCellMar>
        </w:tblPrEx>
        <w:trPr>
          <w:trHeight w:val="624" w:hRule="atLeast"/>
        </w:trPr>
        <w:tc>
          <w:tcPr>
            <w:tcW w:w="213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b/>
                <w:bCs/>
                <w:kern w:val="0"/>
                <w:sz w:val="32"/>
                <w:szCs w:val="32"/>
              </w:rPr>
            </w:pPr>
          </w:p>
        </w:tc>
        <w:tc>
          <w:tcPr>
            <w:tcW w:w="150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b/>
                <w:bCs/>
                <w:kern w:val="0"/>
                <w:sz w:val="32"/>
                <w:szCs w:val="32"/>
              </w:rPr>
            </w:pPr>
          </w:p>
        </w:tc>
        <w:tc>
          <w:tcPr>
            <w:tcW w:w="168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b/>
                <w:bCs/>
                <w:kern w:val="0"/>
                <w:sz w:val="32"/>
                <w:szCs w:val="32"/>
              </w:rPr>
            </w:pPr>
          </w:p>
        </w:tc>
        <w:tc>
          <w:tcPr>
            <w:tcW w:w="33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b/>
                <w:bCs/>
                <w:kern w:val="0"/>
                <w:sz w:val="32"/>
                <w:szCs w:val="32"/>
              </w:rPr>
            </w:pPr>
          </w:p>
        </w:tc>
      </w:tr>
      <w:tr>
        <w:tblPrEx>
          <w:tblLayout w:type="fixed"/>
          <w:tblCellMar>
            <w:top w:w="0" w:type="dxa"/>
            <w:left w:w="108" w:type="dxa"/>
            <w:bottom w:w="0" w:type="dxa"/>
            <w:right w:w="108" w:type="dxa"/>
          </w:tblCellMar>
        </w:tblPrEx>
        <w:trPr>
          <w:trHeight w:val="458" w:hRule="atLeast"/>
        </w:trPr>
        <w:tc>
          <w:tcPr>
            <w:tcW w:w="2138" w:type="dxa"/>
            <w:tcBorders>
              <w:top w:val="nil"/>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权村镇党委</w:t>
            </w:r>
          </w:p>
        </w:tc>
        <w:tc>
          <w:tcPr>
            <w:tcW w:w="1503"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w:t>
            </w:r>
          </w:p>
        </w:tc>
        <w:tc>
          <w:tcPr>
            <w:tcW w:w="1681"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正科级</w:t>
            </w:r>
          </w:p>
        </w:tc>
        <w:tc>
          <w:tcPr>
            <w:tcW w:w="3300"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w:t>
            </w:r>
          </w:p>
        </w:tc>
      </w:tr>
      <w:tr>
        <w:tblPrEx>
          <w:tblLayout w:type="fixed"/>
          <w:tblCellMar>
            <w:top w:w="0" w:type="dxa"/>
            <w:left w:w="108" w:type="dxa"/>
            <w:bottom w:w="0" w:type="dxa"/>
            <w:right w:w="108" w:type="dxa"/>
          </w:tblCellMar>
        </w:tblPrEx>
        <w:trPr>
          <w:trHeight w:val="458" w:hRule="atLeast"/>
        </w:trPr>
        <w:tc>
          <w:tcPr>
            <w:tcW w:w="2138" w:type="dxa"/>
            <w:tcBorders>
              <w:top w:val="nil"/>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权村镇政府办</w:t>
            </w:r>
          </w:p>
        </w:tc>
        <w:tc>
          <w:tcPr>
            <w:tcW w:w="1503"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行政</w:t>
            </w:r>
          </w:p>
        </w:tc>
        <w:tc>
          <w:tcPr>
            <w:tcW w:w="1681"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正科级</w:t>
            </w:r>
          </w:p>
        </w:tc>
        <w:tc>
          <w:tcPr>
            <w:tcW w:w="3300"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财政拨款</w:t>
            </w:r>
          </w:p>
        </w:tc>
      </w:tr>
      <w:tr>
        <w:tblPrEx>
          <w:tblLayout w:type="fixed"/>
          <w:tblCellMar>
            <w:top w:w="0" w:type="dxa"/>
            <w:left w:w="108" w:type="dxa"/>
            <w:bottom w:w="0" w:type="dxa"/>
            <w:right w:w="108" w:type="dxa"/>
          </w:tblCellMar>
        </w:tblPrEx>
        <w:trPr>
          <w:trHeight w:val="458" w:hRule="atLeast"/>
        </w:trPr>
        <w:tc>
          <w:tcPr>
            <w:tcW w:w="2138" w:type="dxa"/>
            <w:tcBorders>
              <w:top w:val="nil"/>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权村镇人大</w:t>
            </w:r>
          </w:p>
        </w:tc>
        <w:tc>
          <w:tcPr>
            <w:tcW w:w="1503"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行政</w:t>
            </w:r>
          </w:p>
        </w:tc>
        <w:tc>
          <w:tcPr>
            <w:tcW w:w="1681"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正科级</w:t>
            </w:r>
          </w:p>
        </w:tc>
        <w:tc>
          <w:tcPr>
            <w:tcW w:w="3300"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财政拨款</w:t>
            </w:r>
          </w:p>
        </w:tc>
      </w:tr>
      <w:tr>
        <w:tblPrEx>
          <w:tblLayout w:type="fixed"/>
          <w:tblCellMar>
            <w:top w:w="0" w:type="dxa"/>
            <w:left w:w="108" w:type="dxa"/>
            <w:bottom w:w="0" w:type="dxa"/>
            <w:right w:w="108" w:type="dxa"/>
          </w:tblCellMar>
        </w:tblPrEx>
        <w:trPr>
          <w:trHeight w:val="458" w:hRule="atLeast"/>
        </w:trPr>
        <w:tc>
          <w:tcPr>
            <w:tcW w:w="2138" w:type="dxa"/>
            <w:tcBorders>
              <w:top w:val="nil"/>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权村镇财政所</w:t>
            </w:r>
          </w:p>
        </w:tc>
        <w:tc>
          <w:tcPr>
            <w:tcW w:w="1503"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事业</w:t>
            </w:r>
          </w:p>
        </w:tc>
        <w:tc>
          <w:tcPr>
            <w:tcW w:w="1681"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股级</w:t>
            </w:r>
          </w:p>
        </w:tc>
        <w:tc>
          <w:tcPr>
            <w:tcW w:w="3300"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财政性资金基本保证</w:t>
            </w:r>
          </w:p>
        </w:tc>
      </w:tr>
      <w:tr>
        <w:tblPrEx>
          <w:tblLayout w:type="fixed"/>
          <w:tblCellMar>
            <w:top w:w="0" w:type="dxa"/>
            <w:left w:w="108" w:type="dxa"/>
            <w:bottom w:w="0" w:type="dxa"/>
            <w:right w:w="108" w:type="dxa"/>
          </w:tblCellMar>
        </w:tblPrEx>
        <w:trPr>
          <w:trHeight w:val="458" w:hRule="atLeast"/>
        </w:trPr>
        <w:tc>
          <w:tcPr>
            <w:tcW w:w="2138" w:type="dxa"/>
            <w:tcBorders>
              <w:top w:val="nil"/>
              <w:left w:val="single" w:color="000000" w:sz="8" w:space="0"/>
              <w:bottom w:val="single" w:color="000000" w:sz="8" w:space="0"/>
              <w:right w:val="single" w:color="000000" w:sz="8" w:space="0"/>
            </w:tcBorders>
            <w:vAlign w:val="center"/>
          </w:tcPr>
          <w:p>
            <w:pPr>
              <w:spacing w:line="3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权村镇计生</w:t>
            </w:r>
          </w:p>
        </w:tc>
        <w:tc>
          <w:tcPr>
            <w:tcW w:w="1503"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事业</w:t>
            </w:r>
          </w:p>
        </w:tc>
        <w:tc>
          <w:tcPr>
            <w:tcW w:w="1681"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股级</w:t>
            </w:r>
          </w:p>
        </w:tc>
        <w:tc>
          <w:tcPr>
            <w:tcW w:w="3300" w:type="dxa"/>
            <w:tcBorders>
              <w:top w:val="nil"/>
              <w:left w:val="nil"/>
              <w:bottom w:val="single" w:color="000000" w:sz="8"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财政性资金基本保证</w:t>
            </w:r>
          </w:p>
        </w:tc>
      </w:tr>
      <w:tr>
        <w:tblPrEx>
          <w:tblLayout w:type="fixed"/>
          <w:tblCellMar>
            <w:top w:w="0" w:type="dxa"/>
            <w:left w:w="108" w:type="dxa"/>
            <w:bottom w:w="0" w:type="dxa"/>
            <w:right w:w="108" w:type="dxa"/>
          </w:tblCellMar>
        </w:tblPrEx>
        <w:trPr>
          <w:trHeight w:val="458" w:hRule="atLeast"/>
        </w:trPr>
        <w:tc>
          <w:tcPr>
            <w:tcW w:w="2138" w:type="dxa"/>
            <w:tcBorders>
              <w:top w:val="nil"/>
              <w:left w:val="single" w:color="000000" w:sz="8" w:space="0"/>
              <w:bottom w:val="single" w:color="auto" w:sz="4" w:space="0"/>
              <w:right w:val="single" w:color="000000" w:sz="8" w:space="0"/>
            </w:tcBorders>
            <w:vAlign w:val="center"/>
          </w:tcPr>
          <w:p>
            <w:pPr>
              <w:spacing w:line="3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权村镇农业</w:t>
            </w:r>
          </w:p>
        </w:tc>
        <w:tc>
          <w:tcPr>
            <w:tcW w:w="1503" w:type="dxa"/>
            <w:tcBorders>
              <w:top w:val="nil"/>
              <w:left w:val="nil"/>
              <w:bottom w:val="single" w:color="auto" w:sz="4"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事业</w:t>
            </w:r>
          </w:p>
        </w:tc>
        <w:tc>
          <w:tcPr>
            <w:tcW w:w="1681" w:type="dxa"/>
            <w:tcBorders>
              <w:top w:val="nil"/>
              <w:left w:val="nil"/>
              <w:bottom w:val="single" w:color="auto" w:sz="4"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股级</w:t>
            </w:r>
          </w:p>
        </w:tc>
        <w:tc>
          <w:tcPr>
            <w:tcW w:w="3300" w:type="dxa"/>
            <w:tcBorders>
              <w:top w:val="nil"/>
              <w:left w:val="nil"/>
              <w:bottom w:val="single" w:color="auto" w:sz="4" w:space="0"/>
              <w:right w:val="single" w:color="000000" w:sz="8" w:space="0"/>
            </w:tcBorders>
            <w:vAlign w:val="center"/>
          </w:tcPr>
          <w:p>
            <w:pPr>
              <w:spacing w:line="3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财政性资金基本保证</w:t>
            </w:r>
          </w:p>
        </w:tc>
      </w:tr>
      <w:tr>
        <w:tblPrEx>
          <w:tblLayout w:type="fixed"/>
          <w:tblCellMar>
            <w:top w:w="0" w:type="dxa"/>
            <w:left w:w="108" w:type="dxa"/>
            <w:bottom w:w="0" w:type="dxa"/>
            <w:right w:w="108" w:type="dxa"/>
          </w:tblCellMar>
        </w:tblPrEx>
        <w:trPr>
          <w:trHeight w:val="458" w:hRule="atLeast"/>
        </w:trPr>
        <w:tc>
          <w:tcPr>
            <w:tcW w:w="213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权村镇城建</w:t>
            </w:r>
          </w:p>
        </w:tc>
        <w:tc>
          <w:tcPr>
            <w:tcW w:w="15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事业</w:t>
            </w:r>
          </w:p>
        </w:tc>
        <w:tc>
          <w:tcPr>
            <w:tcW w:w="16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股级</w:t>
            </w:r>
          </w:p>
        </w:tc>
        <w:tc>
          <w:tcPr>
            <w:tcW w:w="33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财政性资金基本保证财政拨款</w:t>
            </w:r>
          </w:p>
        </w:tc>
      </w:tr>
    </w:tbl>
    <w:p>
      <w:pPr>
        <w:autoSpaceDE w:val="0"/>
        <w:autoSpaceDN w:val="0"/>
        <w:adjustRightInd w:val="0"/>
        <w:spacing w:line="584" w:lineRule="exact"/>
        <w:ind w:firstLine="640" w:firstLineChars="200"/>
        <w:jc w:val="left"/>
        <w:rPr>
          <w:rFonts w:eastAsia="仿宋_GB2312"/>
          <w:kern w:val="0"/>
          <w:sz w:val="32"/>
          <w:szCs w:val="32"/>
        </w:rPr>
      </w:pPr>
    </w:p>
    <w:p>
      <w:pPr>
        <w:autoSpaceDE w:val="0"/>
        <w:autoSpaceDN w:val="0"/>
        <w:adjustRightInd w:val="0"/>
        <w:spacing w:line="584" w:lineRule="exact"/>
        <w:ind w:firstLine="640" w:firstLineChars="200"/>
        <w:jc w:val="left"/>
        <w:rPr>
          <w:rFonts w:eastAsia="仿宋_GB2312"/>
          <w:kern w:val="0"/>
          <w:sz w:val="32"/>
          <w:szCs w:val="32"/>
        </w:rPr>
        <w:sectPr>
          <w:footerReference r:id="rId3" w:type="default"/>
          <w:footerReference r:id="rId4" w:type="even"/>
          <w:pgSz w:w="11906" w:h="16838"/>
          <w:pgMar w:top="1985" w:right="1531" w:bottom="1985" w:left="1531" w:header="851" w:footer="1418" w:gutter="0"/>
          <w:pgNumType w:start="1"/>
          <w:cols w:space="425" w:num="1"/>
          <w:docGrid w:type="lines" w:linePitch="312" w:charSpace="0"/>
        </w:sectPr>
      </w:pPr>
    </w:p>
    <w:p>
      <w:pPr>
        <w:spacing w:line="584" w:lineRule="exact"/>
        <w:jc w:val="center"/>
        <w:rPr>
          <w:rFonts w:eastAsia="黑体"/>
          <w:bCs/>
          <w:kern w:val="0"/>
          <w:sz w:val="52"/>
          <w:szCs w:val="52"/>
        </w:rPr>
      </w:pPr>
    </w:p>
    <w:p>
      <w:pPr>
        <w:pStyle w:val="2"/>
        <w:spacing w:before="0" w:after="0" w:line="584" w:lineRule="exact"/>
        <w:jc w:val="center"/>
        <w:rPr>
          <w:color w:val="000000"/>
          <w:kern w:val="0"/>
        </w:rPr>
      </w:pPr>
      <w:r>
        <w:rPr>
          <w:color w:val="000000"/>
          <w:kern w:val="0"/>
        </w:rPr>
        <w:t>第二部分 2017年度部门决算报表</w:t>
      </w:r>
      <w:r>
        <w:rPr>
          <w:rFonts w:hint="eastAsia"/>
          <w:color w:val="000000"/>
          <w:kern w:val="0"/>
        </w:rPr>
        <w:t>（见附表）</w:t>
      </w:r>
    </w:p>
    <w:p/>
    <w:p>
      <w:pPr>
        <w:spacing w:line="584" w:lineRule="exact"/>
        <w:jc w:val="center"/>
        <w:rPr>
          <w:b/>
          <w:bCs/>
          <w:kern w:val="0"/>
          <w:sz w:val="44"/>
          <w:szCs w:val="44"/>
        </w:rPr>
        <w:sectPr>
          <w:pgSz w:w="11906" w:h="16838"/>
          <w:pgMar w:top="1985" w:right="1531" w:bottom="1985" w:left="1531" w:header="851" w:footer="992" w:gutter="0"/>
          <w:cols w:space="425" w:num="1"/>
          <w:docGrid w:type="lines" w:linePitch="312" w:charSpace="0"/>
        </w:sect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第三部分</w:t>
      </w:r>
      <w:r>
        <w:rPr>
          <w:rFonts w:hint="eastAsia"/>
          <w:color w:val="000000"/>
          <w:kern w:val="0"/>
        </w:rPr>
        <w:t>2017年</w:t>
      </w:r>
      <w:r>
        <w:rPr>
          <w:color w:val="000000"/>
          <w:kern w:val="0"/>
        </w:rPr>
        <w:t>部门决算情况说明</w:t>
      </w:r>
    </w:p>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一、收入</w:t>
      </w:r>
      <w:r>
        <w:rPr>
          <w:rFonts w:ascii="Times New Roman" w:hAnsi="Times New Roman" w:eastAsia="黑体"/>
          <w:b w:val="0"/>
          <w:kern w:val="0"/>
        </w:rPr>
        <w:t>支出</w:t>
      </w:r>
      <w:r>
        <w:rPr>
          <w:rFonts w:ascii="Times New Roman" w:hAnsi="Times New Roman" w:eastAsia="黑体"/>
          <w:b w:val="0"/>
        </w:rPr>
        <w:t>决算总体情况说明</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本部门2017年度年初结转和结余</w:t>
      </w:r>
      <w:r>
        <w:rPr>
          <w:rFonts w:hint="eastAsia" w:ascii="仿宋" w:hAnsi="仿宋" w:eastAsia="仿宋"/>
          <w:sz w:val="32"/>
          <w:szCs w:val="32"/>
        </w:rPr>
        <w:t>0</w:t>
      </w:r>
      <w:r>
        <w:rPr>
          <w:rFonts w:ascii="仿宋" w:hAnsi="仿宋" w:eastAsia="仿宋"/>
          <w:sz w:val="32"/>
          <w:szCs w:val="32"/>
        </w:rPr>
        <w:t>万元，本年收入</w:t>
      </w:r>
      <w:r>
        <w:rPr>
          <w:rFonts w:hint="eastAsia" w:ascii="仿宋" w:hAnsi="仿宋" w:eastAsia="仿宋"/>
          <w:sz w:val="32"/>
          <w:szCs w:val="32"/>
        </w:rPr>
        <w:t>1328.98</w:t>
      </w:r>
      <w:r>
        <w:rPr>
          <w:rFonts w:ascii="仿宋" w:hAnsi="仿宋" w:eastAsia="仿宋"/>
          <w:sz w:val="32"/>
          <w:szCs w:val="32"/>
        </w:rPr>
        <w:t>万元；本年支出</w:t>
      </w:r>
      <w:r>
        <w:rPr>
          <w:rFonts w:hint="eastAsia" w:ascii="仿宋" w:hAnsi="仿宋" w:eastAsia="仿宋"/>
          <w:sz w:val="32"/>
          <w:szCs w:val="32"/>
        </w:rPr>
        <w:t>1328.98</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年末结转和结余</w:t>
      </w:r>
      <w:r>
        <w:rPr>
          <w:rFonts w:hint="eastAsia" w:ascii="仿宋" w:hAnsi="仿宋" w:eastAsia="仿宋"/>
          <w:sz w:val="32"/>
          <w:szCs w:val="32"/>
        </w:rPr>
        <w:t>0</w:t>
      </w:r>
      <w:r>
        <w:rPr>
          <w:rFonts w:ascii="仿宋" w:hAnsi="仿宋" w:eastAsia="仿宋"/>
          <w:sz w:val="32"/>
          <w:szCs w:val="32"/>
        </w:rPr>
        <w:t>万元。与2016年度决算相比，本年收入增加</w:t>
      </w:r>
      <w:r>
        <w:rPr>
          <w:rFonts w:hint="eastAsia" w:ascii="仿宋" w:hAnsi="仿宋" w:eastAsia="仿宋"/>
          <w:sz w:val="32"/>
          <w:szCs w:val="32"/>
        </w:rPr>
        <w:t>309.28</w:t>
      </w:r>
      <w:r>
        <w:rPr>
          <w:rFonts w:ascii="仿宋" w:hAnsi="仿宋" w:eastAsia="仿宋"/>
          <w:sz w:val="32"/>
          <w:szCs w:val="32"/>
        </w:rPr>
        <w:t>万元，增长</w:t>
      </w:r>
      <w:r>
        <w:rPr>
          <w:rFonts w:hint="eastAsia" w:ascii="仿宋" w:hAnsi="仿宋" w:eastAsia="仿宋"/>
          <w:color w:val="000000" w:themeColor="text1"/>
          <w:sz w:val="32"/>
          <w:szCs w:val="32"/>
        </w:rPr>
        <w:t>30</w:t>
      </w:r>
      <w:r>
        <w:rPr>
          <w:rFonts w:ascii="仿宋" w:hAnsi="仿宋" w:eastAsia="仿宋"/>
          <w:sz w:val="32"/>
          <w:szCs w:val="32"/>
        </w:rPr>
        <w:t>%，主要</w:t>
      </w:r>
      <w:r>
        <w:rPr>
          <w:rFonts w:hint="eastAsia" w:ascii="仿宋" w:hAnsi="仿宋" w:eastAsia="仿宋"/>
          <w:sz w:val="32"/>
          <w:szCs w:val="32"/>
        </w:rPr>
        <w:t>为人员经费支出、农村环境治理、大气污染增加</w:t>
      </w:r>
      <w:r>
        <w:rPr>
          <w:rFonts w:ascii="仿宋" w:hAnsi="仿宋" w:eastAsia="仿宋"/>
          <w:sz w:val="32"/>
          <w:szCs w:val="32"/>
        </w:rPr>
        <w:t>；本年支出增加</w:t>
      </w:r>
      <w:r>
        <w:rPr>
          <w:rFonts w:hint="eastAsia" w:ascii="仿宋" w:hAnsi="仿宋" w:eastAsia="仿宋"/>
          <w:sz w:val="32"/>
          <w:szCs w:val="32"/>
        </w:rPr>
        <w:t>309.28</w:t>
      </w:r>
      <w:r>
        <w:rPr>
          <w:rFonts w:ascii="仿宋" w:hAnsi="仿宋" w:eastAsia="仿宋"/>
          <w:sz w:val="32"/>
          <w:szCs w:val="32"/>
        </w:rPr>
        <w:t>万元，增长</w:t>
      </w:r>
      <w:r>
        <w:rPr>
          <w:rFonts w:hint="eastAsia" w:ascii="仿宋" w:hAnsi="仿宋" w:eastAsia="仿宋"/>
          <w:color w:val="000000" w:themeColor="text1"/>
          <w:sz w:val="32"/>
          <w:szCs w:val="32"/>
        </w:rPr>
        <w:t>30</w:t>
      </w:r>
      <w:r>
        <w:rPr>
          <w:rFonts w:ascii="仿宋" w:hAnsi="仿宋" w:eastAsia="仿宋"/>
          <w:sz w:val="32"/>
          <w:szCs w:val="32"/>
        </w:rPr>
        <w:t>%，主要</w:t>
      </w:r>
      <w:r>
        <w:rPr>
          <w:rFonts w:hint="eastAsia" w:ascii="仿宋" w:hAnsi="仿宋" w:eastAsia="仿宋"/>
          <w:sz w:val="32"/>
          <w:szCs w:val="32"/>
        </w:rPr>
        <w:t>为人员经费支出、农村环境治理、大气污染增加</w:t>
      </w:r>
      <w:r>
        <w:rPr>
          <w:rFonts w:ascii="仿宋" w:hAnsi="仿宋" w:eastAsia="仿宋"/>
          <w:sz w:val="32"/>
          <w:szCs w:val="32"/>
        </w:rPr>
        <w:t>。</w:t>
      </w:r>
    </w:p>
    <w:p>
      <w:pPr>
        <w:pStyle w:val="3"/>
        <w:adjustRightInd w:val="0"/>
        <w:spacing w:before="0" w:after="0" w:line="584" w:lineRule="exact"/>
        <w:ind w:firstLine="640" w:firstLineChars="200"/>
        <w:rPr>
          <w:rFonts w:ascii="Times New Roman" w:hAnsi="Times New Roman" w:eastAsia="黑体"/>
          <w:b w:val="0"/>
        </w:rPr>
      </w:pPr>
      <w:r>
        <w:rPr>
          <w:rFonts w:ascii="Times New Roman" w:hAnsi="Times New Roman" w:eastAsia="黑体"/>
          <w:b w:val="0"/>
        </w:rPr>
        <w:t>二、收入决算情况说明</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本部门2017年度本年收入合计</w:t>
      </w:r>
      <w:r>
        <w:rPr>
          <w:rFonts w:hint="eastAsia" w:ascii="仿宋" w:hAnsi="仿宋" w:eastAsia="仿宋"/>
          <w:sz w:val="32"/>
          <w:szCs w:val="32"/>
        </w:rPr>
        <w:t>1328.98</w:t>
      </w:r>
      <w:r>
        <w:rPr>
          <w:rFonts w:ascii="仿宋" w:hAnsi="仿宋" w:eastAsia="仿宋"/>
          <w:sz w:val="32"/>
          <w:szCs w:val="32"/>
        </w:rPr>
        <w:t>万元，其中：财政拨款收入</w:t>
      </w:r>
      <w:r>
        <w:rPr>
          <w:rFonts w:hint="eastAsia" w:ascii="仿宋" w:hAnsi="仿宋" w:eastAsia="仿宋"/>
          <w:sz w:val="32"/>
          <w:szCs w:val="32"/>
        </w:rPr>
        <w:t>1328.98</w:t>
      </w:r>
      <w:r>
        <w:rPr>
          <w:rFonts w:ascii="仿宋" w:hAnsi="仿宋" w:eastAsia="仿宋"/>
          <w:sz w:val="32"/>
          <w:szCs w:val="32"/>
        </w:rPr>
        <w:t>万元，占</w:t>
      </w:r>
      <w:r>
        <w:rPr>
          <w:rFonts w:hint="eastAsia" w:ascii="仿宋" w:hAnsi="仿宋" w:eastAsia="仿宋"/>
          <w:sz w:val="32"/>
          <w:szCs w:val="32"/>
        </w:rPr>
        <w:t>100</w:t>
      </w:r>
      <w:r>
        <w:rPr>
          <w:rFonts w:ascii="仿宋" w:hAnsi="仿宋" w:eastAsia="仿宋"/>
          <w:sz w:val="32"/>
          <w:szCs w:val="32"/>
        </w:rPr>
        <w:t>%；事业收入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%；经营收入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%；其他收入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adjustRightInd w:val="0"/>
        <w:snapToGrid w:val="0"/>
        <w:spacing w:line="584" w:lineRule="exact"/>
        <w:ind w:firstLine="640" w:firstLineChars="200"/>
        <w:rPr>
          <w:rFonts w:eastAsia="仿宋_GB2312"/>
          <w:sz w:val="32"/>
          <w:szCs w:val="32"/>
        </w:rPr>
      </w:pPr>
      <w:r>
        <w:rPr>
          <w:rFonts w:hint="eastAsia" w:eastAsia="仿宋_GB2312"/>
          <w:sz w:val="32"/>
          <w:szCs w:val="32"/>
        </w:rPr>
        <w:drawing>
          <wp:anchor distT="0" distB="0" distL="114300" distR="114300" simplePos="0" relativeHeight="251658240" behindDoc="0" locked="0" layoutInCell="1" allowOverlap="1">
            <wp:simplePos x="0" y="0"/>
            <wp:positionH relativeFrom="column">
              <wp:posOffset>391795</wp:posOffset>
            </wp:positionH>
            <wp:positionV relativeFrom="paragraph">
              <wp:posOffset>158115</wp:posOffset>
            </wp:positionV>
            <wp:extent cx="4746625" cy="1694815"/>
            <wp:effectExtent l="19050" t="0" r="15875" b="63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三、支出决算情况说明</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本部门2017年度本年支出合计</w:t>
      </w:r>
      <w:r>
        <w:rPr>
          <w:rFonts w:hint="eastAsia" w:ascii="仿宋" w:hAnsi="仿宋" w:eastAsia="仿宋"/>
          <w:sz w:val="32"/>
          <w:szCs w:val="32"/>
        </w:rPr>
        <w:t>1328.98</w:t>
      </w:r>
      <w:r>
        <w:rPr>
          <w:rFonts w:ascii="仿宋" w:hAnsi="仿宋" w:eastAsia="仿宋"/>
          <w:sz w:val="32"/>
          <w:szCs w:val="32"/>
        </w:rPr>
        <w:t>万元，其中：基本支出</w:t>
      </w:r>
      <w:r>
        <w:rPr>
          <w:rFonts w:hint="eastAsia" w:ascii="仿宋" w:hAnsi="仿宋" w:eastAsia="仿宋"/>
          <w:sz w:val="32"/>
          <w:szCs w:val="32"/>
        </w:rPr>
        <w:t>654.24</w:t>
      </w:r>
      <w:r>
        <w:rPr>
          <w:rFonts w:ascii="仿宋" w:hAnsi="仿宋" w:eastAsia="仿宋"/>
          <w:sz w:val="32"/>
          <w:szCs w:val="32"/>
        </w:rPr>
        <w:t>万元，占</w:t>
      </w:r>
      <w:r>
        <w:rPr>
          <w:rFonts w:hint="eastAsia" w:ascii="仿宋" w:hAnsi="仿宋" w:eastAsia="仿宋"/>
          <w:sz w:val="32"/>
          <w:szCs w:val="32"/>
        </w:rPr>
        <w:t>49</w:t>
      </w:r>
      <w:r>
        <w:rPr>
          <w:rFonts w:ascii="仿宋" w:hAnsi="仿宋" w:eastAsia="仿宋"/>
          <w:sz w:val="32"/>
          <w:szCs w:val="32"/>
        </w:rPr>
        <w:t>%；项目支出</w:t>
      </w:r>
      <w:r>
        <w:rPr>
          <w:rFonts w:hint="eastAsia" w:ascii="仿宋" w:hAnsi="仿宋" w:eastAsia="仿宋"/>
          <w:sz w:val="32"/>
          <w:szCs w:val="32"/>
        </w:rPr>
        <w:t>674.74</w:t>
      </w:r>
      <w:r>
        <w:rPr>
          <w:rFonts w:ascii="仿宋" w:hAnsi="仿宋" w:eastAsia="仿宋"/>
          <w:sz w:val="32"/>
          <w:szCs w:val="32"/>
        </w:rPr>
        <w:t>万元，占</w:t>
      </w:r>
      <w:r>
        <w:rPr>
          <w:rFonts w:hint="eastAsia" w:ascii="仿宋" w:hAnsi="仿宋" w:eastAsia="仿宋"/>
          <w:sz w:val="32"/>
          <w:szCs w:val="32"/>
        </w:rPr>
        <w:t>51</w:t>
      </w:r>
      <w:r>
        <w:rPr>
          <w:rFonts w:ascii="仿宋" w:hAnsi="仿宋" w:eastAsia="仿宋"/>
          <w:sz w:val="32"/>
          <w:szCs w:val="32"/>
        </w:rPr>
        <w:t>%；经营支出</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%。如图所示：</w:t>
      </w:r>
    </w:p>
    <w:p>
      <w:pPr>
        <w:adjustRightInd w:val="0"/>
        <w:snapToGrid w:val="0"/>
        <w:spacing w:line="584" w:lineRule="exact"/>
        <w:ind w:firstLine="1920" w:firstLineChars="600"/>
        <w:rPr>
          <w:rFonts w:eastAsia="仿宋_GB2312"/>
          <w:sz w:val="32"/>
          <w:szCs w:val="32"/>
        </w:rPr>
      </w:pPr>
      <w:r>
        <w:rPr>
          <w:rFonts w:eastAsia="仿宋_GB2312"/>
          <w:sz w:val="32"/>
          <w:szCs w:val="32"/>
        </w:rPr>
        <w:t>图2：支出决算结构饼状图</w:t>
      </w:r>
    </w:p>
    <w:p>
      <w:pPr>
        <w:adjustRightInd w:val="0"/>
        <w:snapToGrid w:val="0"/>
        <w:spacing w:line="584" w:lineRule="exact"/>
        <w:rPr>
          <w:rFonts w:eastAsia="仿宋_GB2312"/>
          <w:sz w:val="32"/>
          <w:szCs w:val="32"/>
        </w:rPr>
      </w:pPr>
      <w:r>
        <w:rPr>
          <w:rFonts w:hint="eastAsia" w:eastAsia="仿宋_GB2312"/>
          <w:sz w:val="32"/>
          <w:szCs w:val="32"/>
        </w:rPr>
        <w:drawing>
          <wp:anchor distT="0" distB="0" distL="114300" distR="114300" simplePos="0" relativeHeight="251659264" behindDoc="0" locked="0" layoutInCell="1" allowOverlap="1">
            <wp:simplePos x="0" y="0"/>
            <wp:positionH relativeFrom="column">
              <wp:posOffset>96520</wp:posOffset>
            </wp:positionH>
            <wp:positionV relativeFrom="paragraph">
              <wp:posOffset>311785</wp:posOffset>
            </wp:positionV>
            <wp:extent cx="5069840" cy="2124710"/>
            <wp:effectExtent l="4445" t="4445" r="12065" b="2349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四、</w:t>
      </w:r>
      <w:r>
        <w:rPr>
          <w:rFonts w:ascii="Times New Roman" w:hAnsi="Times New Roman" w:eastAsia="黑体"/>
          <w:b w:val="0"/>
          <w:kern w:val="0"/>
        </w:rPr>
        <w:t>财政</w:t>
      </w:r>
      <w:r>
        <w:rPr>
          <w:rFonts w:ascii="Times New Roman" w:hAnsi="Times New Roman" w:eastAsia="黑体"/>
          <w:b w:val="0"/>
        </w:rPr>
        <w:t>拨款收入支出决算总体情况说明</w:t>
      </w:r>
    </w:p>
    <w:p>
      <w:pPr>
        <w:spacing w:line="584" w:lineRule="exact"/>
        <w:ind w:firstLine="640" w:firstLineChars="200"/>
        <w:rPr>
          <w:rFonts w:ascii="楷体" w:hAnsi="楷体" w:eastAsia="楷体"/>
          <w:bCs/>
          <w:sz w:val="32"/>
          <w:szCs w:val="32"/>
        </w:rPr>
      </w:pPr>
      <w:r>
        <w:rPr>
          <w:rFonts w:ascii="楷体" w:hAnsi="楷体" w:eastAsia="楷体"/>
          <w:bCs/>
          <w:sz w:val="32"/>
          <w:szCs w:val="32"/>
        </w:rPr>
        <w:t>（一）财政拨款收支与2016 年度决算对比情况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本部门2017年度财政拨款收支全部为一般公共预算财政拨款收支。一般公共预算财政拨款年初结转和结余</w:t>
      </w:r>
      <w:r>
        <w:rPr>
          <w:rFonts w:hint="eastAsia" w:ascii="仿宋" w:hAnsi="仿宋" w:eastAsia="仿宋"/>
          <w:sz w:val="32"/>
          <w:szCs w:val="32"/>
        </w:rPr>
        <w:t>0</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本年收入</w:t>
      </w:r>
      <w:r>
        <w:rPr>
          <w:rFonts w:hint="eastAsia" w:ascii="仿宋" w:hAnsi="仿宋" w:eastAsia="仿宋"/>
          <w:sz w:val="32"/>
          <w:szCs w:val="32"/>
        </w:rPr>
        <w:t>1328.98</w:t>
      </w:r>
      <w:r>
        <w:rPr>
          <w:rFonts w:ascii="仿宋" w:hAnsi="仿宋" w:eastAsia="仿宋"/>
          <w:sz w:val="32"/>
          <w:szCs w:val="32"/>
        </w:rPr>
        <w:t>万元；本年支出</w:t>
      </w:r>
      <w:r>
        <w:rPr>
          <w:rFonts w:hint="eastAsia" w:ascii="仿宋" w:hAnsi="仿宋" w:eastAsia="仿宋"/>
          <w:sz w:val="32"/>
          <w:szCs w:val="32"/>
        </w:rPr>
        <w:t>1328.98</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年末结转和结余</w:t>
      </w:r>
      <w:r>
        <w:rPr>
          <w:rFonts w:hint="eastAsia" w:ascii="仿宋" w:hAnsi="仿宋" w:eastAsia="仿宋"/>
          <w:sz w:val="32"/>
          <w:szCs w:val="32"/>
        </w:rPr>
        <w:t>0</w:t>
      </w:r>
      <w:r>
        <w:rPr>
          <w:rFonts w:ascii="仿宋" w:hAnsi="仿宋" w:eastAsia="仿宋"/>
          <w:sz w:val="32"/>
          <w:szCs w:val="32"/>
        </w:rPr>
        <w:t>万元。与2016年度决算相比，一般公共预算财政拨款本年收入增加</w:t>
      </w:r>
      <w:r>
        <w:rPr>
          <w:rFonts w:hint="eastAsia" w:ascii="仿宋" w:hAnsi="仿宋" w:eastAsia="仿宋"/>
          <w:sz w:val="32"/>
          <w:szCs w:val="32"/>
        </w:rPr>
        <w:t>309.28</w:t>
      </w:r>
      <w:r>
        <w:rPr>
          <w:rFonts w:ascii="仿宋" w:hAnsi="仿宋" w:eastAsia="仿宋"/>
          <w:sz w:val="32"/>
          <w:szCs w:val="32"/>
        </w:rPr>
        <w:t>万元，增长</w:t>
      </w:r>
      <w:r>
        <w:rPr>
          <w:rFonts w:hint="eastAsia" w:ascii="仿宋" w:hAnsi="仿宋" w:eastAsia="仿宋"/>
          <w:sz w:val="32"/>
          <w:szCs w:val="32"/>
        </w:rPr>
        <w:t>30</w:t>
      </w:r>
      <w:r>
        <w:rPr>
          <w:rFonts w:ascii="仿宋" w:hAnsi="仿宋" w:eastAsia="仿宋"/>
          <w:sz w:val="32"/>
          <w:szCs w:val="32"/>
        </w:rPr>
        <w:t>%，主要原因主要</w:t>
      </w:r>
      <w:r>
        <w:rPr>
          <w:rFonts w:hint="eastAsia" w:ascii="仿宋" w:hAnsi="仿宋" w:eastAsia="仿宋"/>
          <w:sz w:val="32"/>
          <w:szCs w:val="32"/>
        </w:rPr>
        <w:t>为人员经费支出、农村环境治理、大气污染增加</w:t>
      </w:r>
      <w:r>
        <w:rPr>
          <w:rFonts w:ascii="仿宋" w:hAnsi="仿宋" w:eastAsia="仿宋"/>
          <w:sz w:val="32"/>
          <w:szCs w:val="32"/>
        </w:rPr>
        <w:t>；本年支出增加</w:t>
      </w:r>
      <w:r>
        <w:rPr>
          <w:rFonts w:hint="eastAsia" w:ascii="仿宋" w:hAnsi="仿宋" w:eastAsia="仿宋"/>
          <w:sz w:val="32"/>
          <w:szCs w:val="32"/>
        </w:rPr>
        <w:t>309.28</w:t>
      </w:r>
      <w:r>
        <w:rPr>
          <w:rFonts w:ascii="仿宋" w:hAnsi="仿宋" w:eastAsia="仿宋"/>
          <w:sz w:val="32"/>
          <w:szCs w:val="32"/>
        </w:rPr>
        <w:t>万元，增长</w:t>
      </w:r>
      <w:r>
        <w:rPr>
          <w:rFonts w:hint="eastAsia" w:ascii="仿宋" w:hAnsi="仿宋" w:eastAsia="仿宋"/>
          <w:sz w:val="32"/>
          <w:szCs w:val="32"/>
        </w:rPr>
        <w:t>30</w:t>
      </w:r>
      <w:r>
        <w:rPr>
          <w:rFonts w:ascii="仿宋" w:hAnsi="仿宋" w:eastAsia="仿宋"/>
          <w:sz w:val="32"/>
          <w:szCs w:val="32"/>
        </w:rPr>
        <w:t>%，主要</w:t>
      </w:r>
      <w:r>
        <w:rPr>
          <w:rFonts w:hint="eastAsia" w:ascii="仿宋" w:hAnsi="仿宋" w:eastAsia="仿宋"/>
          <w:sz w:val="32"/>
          <w:szCs w:val="32"/>
        </w:rPr>
        <w:t>原因为人员经费支出、农村环境治理、大气污染增加</w:t>
      </w:r>
      <w:r>
        <w:rPr>
          <w:rFonts w:ascii="仿宋" w:hAnsi="仿宋" w:eastAsia="仿宋"/>
          <w:sz w:val="32"/>
          <w:szCs w:val="32"/>
        </w:rPr>
        <w:t>。</w:t>
      </w:r>
    </w:p>
    <w:p>
      <w:pPr>
        <w:spacing w:line="584" w:lineRule="exact"/>
        <w:ind w:firstLine="640" w:firstLineChars="200"/>
        <w:rPr>
          <w:rFonts w:ascii="楷体" w:hAnsi="楷体" w:eastAsia="楷体"/>
          <w:bCs/>
          <w:sz w:val="32"/>
          <w:szCs w:val="32"/>
        </w:rPr>
      </w:pPr>
      <w:r>
        <w:rPr>
          <w:rFonts w:ascii="楷体" w:hAnsi="楷体" w:eastAsia="楷体"/>
          <w:bCs/>
          <w:sz w:val="32"/>
          <w:szCs w:val="32"/>
        </w:rPr>
        <w:t>（二）财政拨款收支与年初预算数对比情况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本部门2017年度一般公共预算财政拨款本年收入较2017年初预算增加</w:t>
      </w:r>
      <w:r>
        <w:rPr>
          <w:rFonts w:hint="eastAsia" w:ascii="仿宋" w:hAnsi="仿宋" w:eastAsia="仿宋"/>
          <w:sz w:val="32"/>
          <w:szCs w:val="32"/>
        </w:rPr>
        <w:t>630.49</w:t>
      </w:r>
      <w:r>
        <w:rPr>
          <w:rFonts w:ascii="仿宋" w:hAnsi="仿宋" w:eastAsia="仿宋"/>
          <w:sz w:val="32"/>
          <w:szCs w:val="32"/>
        </w:rPr>
        <w:t>万元，增长</w:t>
      </w:r>
      <w:r>
        <w:rPr>
          <w:rFonts w:hint="eastAsia" w:ascii="仿宋" w:hAnsi="仿宋" w:eastAsia="仿宋"/>
          <w:sz w:val="32"/>
          <w:szCs w:val="32"/>
        </w:rPr>
        <w:t>47</w:t>
      </w:r>
      <w:r>
        <w:rPr>
          <w:rFonts w:ascii="仿宋" w:hAnsi="仿宋" w:eastAsia="仿宋"/>
          <w:sz w:val="32"/>
          <w:szCs w:val="32"/>
        </w:rPr>
        <w:t>%，主要</w:t>
      </w:r>
      <w:r>
        <w:rPr>
          <w:rFonts w:hint="eastAsia" w:ascii="仿宋" w:hAnsi="仿宋" w:eastAsia="仿宋"/>
          <w:sz w:val="32"/>
          <w:szCs w:val="32"/>
        </w:rPr>
        <w:t>原因为人员经费支出、农村环境治理、大气污染增加</w:t>
      </w:r>
      <w:r>
        <w:rPr>
          <w:rFonts w:ascii="仿宋" w:hAnsi="仿宋" w:eastAsia="仿宋"/>
          <w:sz w:val="32"/>
          <w:szCs w:val="32"/>
        </w:rPr>
        <w:t>；本年支出增加</w:t>
      </w:r>
      <w:r>
        <w:rPr>
          <w:rFonts w:hint="eastAsia" w:ascii="仿宋" w:hAnsi="仿宋" w:eastAsia="仿宋"/>
          <w:sz w:val="32"/>
          <w:szCs w:val="32"/>
        </w:rPr>
        <w:t>630.49</w:t>
      </w:r>
      <w:r>
        <w:rPr>
          <w:rFonts w:ascii="仿宋" w:hAnsi="仿宋" w:eastAsia="仿宋"/>
          <w:sz w:val="32"/>
          <w:szCs w:val="32"/>
        </w:rPr>
        <w:t>万元，增长</w:t>
      </w:r>
      <w:r>
        <w:rPr>
          <w:rFonts w:hint="eastAsia" w:ascii="仿宋" w:hAnsi="仿宋" w:eastAsia="仿宋"/>
          <w:sz w:val="32"/>
          <w:szCs w:val="32"/>
        </w:rPr>
        <w:t>47</w:t>
      </w:r>
      <w:r>
        <w:rPr>
          <w:rFonts w:ascii="仿宋" w:hAnsi="仿宋" w:eastAsia="仿宋"/>
          <w:sz w:val="32"/>
          <w:szCs w:val="32"/>
        </w:rPr>
        <w:t>%，主要</w:t>
      </w:r>
      <w:r>
        <w:rPr>
          <w:rFonts w:hint="eastAsia" w:ascii="仿宋" w:hAnsi="仿宋" w:eastAsia="仿宋"/>
          <w:sz w:val="32"/>
          <w:szCs w:val="32"/>
        </w:rPr>
        <w:t>原因为人员经费支出、农村环境治理、大气污染增加</w:t>
      </w:r>
      <w:r>
        <w:rPr>
          <w:rFonts w:ascii="仿宋" w:hAnsi="仿宋" w:eastAsia="仿宋"/>
          <w:sz w:val="32"/>
          <w:szCs w:val="32"/>
        </w:rPr>
        <w:t>。</w:t>
      </w:r>
    </w:p>
    <w:p>
      <w:pPr>
        <w:pStyle w:val="3"/>
        <w:spacing w:before="0" w:after="0" w:line="584" w:lineRule="exact"/>
        <w:ind w:firstLine="640" w:firstLineChars="200"/>
        <w:rPr>
          <w:rFonts w:ascii="黑体" w:hAnsi="黑体" w:eastAsia="黑体"/>
          <w:b w:val="0"/>
        </w:rPr>
      </w:pPr>
      <w:r>
        <w:rPr>
          <w:rFonts w:ascii="黑体" w:hAnsi="黑体" w:eastAsia="黑体"/>
          <w:b w:val="0"/>
        </w:rPr>
        <w:t>五、一般公共预算财政拨款“三公” 经费支出决算情况说明</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本部门2017年度一般公共预算财政拨款“三公”经费支出共计</w:t>
      </w:r>
      <w:r>
        <w:rPr>
          <w:rFonts w:hint="eastAsia" w:ascii="仿宋" w:hAnsi="仿宋" w:eastAsia="仿宋"/>
          <w:sz w:val="32"/>
          <w:szCs w:val="32"/>
        </w:rPr>
        <w:t>9.5</w:t>
      </w:r>
      <w:r>
        <w:rPr>
          <w:rFonts w:ascii="仿宋" w:hAnsi="仿宋" w:eastAsia="仿宋"/>
          <w:sz w:val="32"/>
          <w:szCs w:val="32"/>
        </w:rPr>
        <w:t>万元，</w:t>
      </w:r>
      <w:r>
        <w:rPr>
          <w:rFonts w:hint="eastAsia" w:ascii="仿宋" w:hAnsi="仿宋" w:eastAsia="仿宋"/>
          <w:sz w:val="32"/>
          <w:szCs w:val="32"/>
        </w:rPr>
        <w:t>与</w:t>
      </w:r>
      <w:r>
        <w:rPr>
          <w:rFonts w:ascii="仿宋" w:hAnsi="仿宋" w:eastAsia="仿宋"/>
          <w:sz w:val="32"/>
          <w:szCs w:val="32"/>
        </w:rPr>
        <w:t>年初预算</w:t>
      </w:r>
      <w:r>
        <w:rPr>
          <w:rFonts w:hint="eastAsia" w:ascii="仿宋" w:hAnsi="仿宋" w:eastAsia="仿宋"/>
          <w:sz w:val="32"/>
          <w:szCs w:val="32"/>
        </w:rPr>
        <w:t>持平</w:t>
      </w:r>
      <w:r>
        <w:rPr>
          <w:rFonts w:ascii="仿宋" w:hAnsi="仿宋" w:eastAsia="仿宋"/>
          <w:sz w:val="32"/>
          <w:szCs w:val="32"/>
        </w:rPr>
        <w:t>；较2016年度决算减少</w:t>
      </w:r>
      <w:r>
        <w:rPr>
          <w:rFonts w:hint="eastAsia" w:ascii="仿宋" w:hAnsi="仿宋" w:eastAsia="仿宋"/>
          <w:sz w:val="32"/>
          <w:szCs w:val="32"/>
        </w:rPr>
        <w:t>10</w:t>
      </w:r>
      <w:r>
        <w:rPr>
          <w:rFonts w:ascii="仿宋" w:hAnsi="仿宋" w:eastAsia="仿宋"/>
          <w:sz w:val="32"/>
          <w:szCs w:val="32"/>
        </w:rPr>
        <w:t>万元，降低</w:t>
      </w:r>
      <w:r>
        <w:rPr>
          <w:rFonts w:hint="eastAsia" w:ascii="仿宋" w:hAnsi="仿宋" w:eastAsia="仿宋"/>
          <w:sz w:val="32"/>
          <w:szCs w:val="32"/>
        </w:rPr>
        <w:t>51</w:t>
      </w:r>
      <w:r>
        <w:rPr>
          <w:rFonts w:ascii="仿宋" w:hAnsi="仿宋" w:eastAsia="仿宋"/>
          <w:sz w:val="32"/>
          <w:szCs w:val="32"/>
        </w:rPr>
        <w:t>%，主要原因是</w:t>
      </w:r>
      <w:r>
        <w:rPr>
          <w:rFonts w:hint="eastAsia" w:ascii="仿宋" w:hAnsi="仿宋" w:eastAsia="仿宋"/>
          <w:sz w:val="32"/>
          <w:szCs w:val="32"/>
        </w:rPr>
        <w:t>规范公务用车使用，厉行勤俭节约反对浪费</w:t>
      </w:r>
      <w:r>
        <w:rPr>
          <w:rFonts w:ascii="仿宋" w:hAnsi="仿宋" w:eastAsia="仿宋"/>
          <w:sz w:val="32"/>
          <w:szCs w:val="32"/>
        </w:rPr>
        <w:t>。具体情况如下：</w:t>
      </w:r>
    </w:p>
    <w:p>
      <w:pPr>
        <w:adjustRightInd w:val="0"/>
        <w:snapToGrid w:val="0"/>
        <w:spacing w:line="584" w:lineRule="exact"/>
        <w:ind w:firstLine="640" w:firstLineChars="200"/>
        <w:rPr>
          <w:rFonts w:ascii="仿宋" w:hAnsi="仿宋" w:eastAsia="仿宋"/>
          <w:sz w:val="32"/>
          <w:szCs w:val="32"/>
        </w:rPr>
      </w:pPr>
      <w:r>
        <w:rPr>
          <w:rFonts w:ascii="楷体" w:hAnsi="楷体" w:eastAsia="楷体"/>
          <w:bCs/>
          <w:sz w:val="32"/>
          <w:szCs w:val="32"/>
        </w:rPr>
        <w:t>（一）因公出国（境）费支出</w:t>
      </w:r>
      <w:r>
        <w:rPr>
          <w:rFonts w:hint="eastAsia" w:ascii="楷体" w:hAnsi="楷体" w:eastAsia="楷体"/>
          <w:bCs/>
          <w:sz w:val="32"/>
          <w:szCs w:val="32"/>
        </w:rPr>
        <w:t>0</w:t>
      </w:r>
      <w:r>
        <w:rPr>
          <w:rFonts w:ascii="楷体" w:hAnsi="楷体" w:eastAsia="楷体"/>
          <w:bCs/>
          <w:sz w:val="32"/>
          <w:szCs w:val="32"/>
        </w:rPr>
        <w:t>万元。</w:t>
      </w:r>
      <w:r>
        <w:rPr>
          <w:rFonts w:ascii="仿宋" w:hAnsi="仿宋" w:eastAsia="仿宋"/>
          <w:sz w:val="32"/>
          <w:szCs w:val="32"/>
        </w:rPr>
        <w:t>本部门2017年度因公出国（境）团组</w:t>
      </w:r>
      <w:r>
        <w:rPr>
          <w:rFonts w:hint="eastAsia" w:ascii="仿宋" w:hAnsi="仿宋" w:eastAsia="仿宋"/>
          <w:sz w:val="32"/>
          <w:szCs w:val="32"/>
        </w:rPr>
        <w:t>0</w:t>
      </w:r>
      <w:r>
        <w:rPr>
          <w:rFonts w:ascii="仿宋" w:hAnsi="仿宋" w:eastAsia="仿宋"/>
          <w:sz w:val="32"/>
          <w:szCs w:val="32"/>
        </w:rPr>
        <w:t>个，因公出国（境）人次数</w:t>
      </w:r>
      <w:r>
        <w:rPr>
          <w:rFonts w:hint="eastAsia" w:ascii="仿宋" w:hAnsi="仿宋" w:eastAsia="仿宋"/>
          <w:sz w:val="32"/>
          <w:szCs w:val="32"/>
        </w:rPr>
        <w:t>0</w:t>
      </w:r>
      <w:r>
        <w:rPr>
          <w:rFonts w:ascii="仿宋" w:hAnsi="仿宋" w:eastAsia="仿宋"/>
          <w:sz w:val="32"/>
          <w:szCs w:val="32"/>
        </w:rPr>
        <w:t>人。</w:t>
      </w:r>
      <w:r>
        <w:rPr>
          <w:rFonts w:hint="eastAsia" w:ascii="仿宋" w:hAnsi="仿宋" w:eastAsia="仿宋"/>
          <w:sz w:val="32"/>
          <w:szCs w:val="32"/>
        </w:rPr>
        <w:t>未发生</w:t>
      </w:r>
      <w:r>
        <w:rPr>
          <w:rFonts w:ascii="仿宋" w:hAnsi="仿宋" w:eastAsia="仿宋"/>
          <w:sz w:val="32"/>
          <w:szCs w:val="32"/>
        </w:rPr>
        <w:t>因公出国（境）费支出</w:t>
      </w:r>
      <w:r>
        <w:rPr>
          <w:rFonts w:hint="eastAsia" w:ascii="仿宋" w:hAnsi="仿宋" w:eastAsia="仿宋"/>
          <w:sz w:val="32"/>
          <w:szCs w:val="32"/>
        </w:rPr>
        <w:t>，</w:t>
      </w:r>
      <w:r>
        <w:rPr>
          <w:rFonts w:ascii="仿宋" w:hAnsi="仿宋" w:eastAsia="仿宋"/>
          <w:sz w:val="32"/>
          <w:szCs w:val="32"/>
        </w:rPr>
        <w:t>较年初预算无增减变化</w:t>
      </w:r>
      <w:r>
        <w:rPr>
          <w:rFonts w:hint="eastAsia" w:ascii="仿宋" w:hAnsi="仿宋" w:eastAsia="仿宋"/>
          <w:sz w:val="32"/>
          <w:szCs w:val="32"/>
        </w:rPr>
        <w:t>；</w:t>
      </w:r>
      <w:r>
        <w:rPr>
          <w:rFonts w:ascii="仿宋" w:hAnsi="仿宋" w:eastAsia="仿宋"/>
          <w:sz w:val="32"/>
          <w:szCs w:val="32"/>
        </w:rPr>
        <w:t>较2016年度决算</w:t>
      </w:r>
      <w:r>
        <w:rPr>
          <w:rFonts w:hint="eastAsia" w:ascii="仿宋" w:hAnsi="仿宋" w:eastAsia="仿宋"/>
          <w:sz w:val="32"/>
          <w:szCs w:val="32"/>
        </w:rPr>
        <w:t>无增减变化</w:t>
      </w:r>
      <w:r>
        <w:rPr>
          <w:rFonts w:ascii="仿宋" w:hAnsi="仿宋" w:eastAsia="仿宋"/>
          <w:sz w:val="32"/>
          <w:szCs w:val="32"/>
        </w:rPr>
        <w:t>，。</w:t>
      </w:r>
    </w:p>
    <w:p>
      <w:pPr>
        <w:adjustRightInd w:val="0"/>
        <w:snapToGrid w:val="0"/>
        <w:spacing w:line="584" w:lineRule="exact"/>
        <w:ind w:firstLine="640" w:firstLineChars="200"/>
        <w:rPr>
          <w:rFonts w:ascii="楷体" w:hAnsi="楷体" w:eastAsia="楷体"/>
          <w:bCs/>
          <w:sz w:val="32"/>
          <w:szCs w:val="32"/>
        </w:rPr>
      </w:pPr>
      <w:r>
        <w:rPr>
          <w:rFonts w:ascii="楷体" w:hAnsi="楷体" w:eastAsia="楷体"/>
          <w:bCs/>
          <w:sz w:val="32"/>
          <w:szCs w:val="32"/>
        </w:rPr>
        <w:t>（二）公务用车购置及运行维护费支出</w:t>
      </w:r>
      <w:r>
        <w:rPr>
          <w:rFonts w:hint="eastAsia" w:ascii="楷体" w:hAnsi="楷体" w:eastAsia="楷体"/>
          <w:bCs/>
          <w:sz w:val="32"/>
          <w:szCs w:val="32"/>
        </w:rPr>
        <w:t>7</w:t>
      </w:r>
      <w:r>
        <w:rPr>
          <w:rFonts w:ascii="楷体" w:hAnsi="楷体" w:eastAsia="楷体"/>
          <w:bCs/>
          <w:sz w:val="32"/>
          <w:szCs w:val="32"/>
        </w:rPr>
        <w:t>万元。其中：</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公务用车购置费支出</w:t>
      </w:r>
      <w:r>
        <w:rPr>
          <w:rFonts w:hint="eastAsia" w:ascii="仿宋" w:hAnsi="仿宋" w:eastAsia="仿宋"/>
          <w:sz w:val="32"/>
          <w:szCs w:val="32"/>
        </w:rPr>
        <w:t>0</w:t>
      </w:r>
      <w:r>
        <w:rPr>
          <w:rFonts w:ascii="仿宋" w:hAnsi="仿宋" w:eastAsia="仿宋"/>
          <w:sz w:val="32"/>
          <w:szCs w:val="32"/>
        </w:rPr>
        <w:t>万元</w:t>
      </w:r>
      <w:r>
        <w:rPr>
          <w:rFonts w:ascii="仿宋" w:hAnsi="仿宋" w:eastAsia="仿宋"/>
          <w:b/>
          <w:sz w:val="32"/>
          <w:szCs w:val="32"/>
        </w:rPr>
        <w:t>。</w:t>
      </w:r>
      <w:r>
        <w:rPr>
          <w:rFonts w:ascii="仿宋" w:hAnsi="仿宋" w:eastAsia="仿宋"/>
          <w:sz w:val="32"/>
          <w:szCs w:val="32"/>
        </w:rPr>
        <w:t>本部门2017年度公务用车购置</w:t>
      </w:r>
      <w:r>
        <w:rPr>
          <w:rFonts w:hint="eastAsia" w:ascii="仿宋" w:hAnsi="仿宋" w:eastAsia="仿宋"/>
          <w:sz w:val="32"/>
          <w:szCs w:val="32"/>
        </w:rPr>
        <w:t>数</w:t>
      </w:r>
      <w:r>
        <w:rPr>
          <w:rFonts w:ascii="仿宋" w:hAnsi="仿宋" w:eastAsia="仿宋"/>
          <w:sz w:val="32"/>
          <w:szCs w:val="32"/>
        </w:rPr>
        <w:t>量</w:t>
      </w:r>
      <w:r>
        <w:rPr>
          <w:rFonts w:hint="eastAsia" w:ascii="仿宋" w:hAnsi="仿宋" w:eastAsia="仿宋"/>
          <w:sz w:val="32"/>
          <w:szCs w:val="32"/>
        </w:rPr>
        <w:t>0</w:t>
      </w:r>
      <w:r>
        <w:rPr>
          <w:rFonts w:ascii="仿宋" w:hAnsi="仿宋" w:eastAsia="仿宋"/>
          <w:sz w:val="32"/>
          <w:szCs w:val="32"/>
        </w:rPr>
        <w:t>辆。</w:t>
      </w:r>
      <w:r>
        <w:rPr>
          <w:rFonts w:hint="eastAsia" w:ascii="仿宋" w:hAnsi="仿宋" w:eastAsia="仿宋"/>
          <w:sz w:val="32"/>
          <w:szCs w:val="32"/>
        </w:rPr>
        <w:t>未发生</w:t>
      </w:r>
      <w:r>
        <w:rPr>
          <w:rFonts w:ascii="仿宋" w:hAnsi="仿宋" w:eastAsia="仿宋"/>
          <w:sz w:val="32"/>
          <w:szCs w:val="32"/>
        </w:rPr>
        <w:t>公务用车购置费</w:t>
      </w:r>
      <w:r>
        <w:rPr>
          <w:rFonts w:hint="eastAsia" w:ascii="仿宋" w:hAnsi="仿宋" w:eastAsia="仿宋"/>
          <w:sz w:val="32"/>
          <w:szCs w:val="32"/>
        </w:rPr>
        <w:t>，</w:t>
      </w:r>
      <w:r>
        <w:rPr>
          <w:rFonts w:ascii="仿宋" w:hAnsi="仿宋" w:eastAsia="仿宋"/>
          <w:sz w:val="32"/>
          <w:szCs w:val="32"/>
        </w:rPr>
        <w:t>较2016年度</w:t>
      </w:r>
      <w:r>
        <w:rPr>
          <w:rFonts w:hint="eastAsia" w:ascii="仿宋" w:hAnsi="仿宋" w:eastAsia="仿宋"/>
          <w:sz w:val="32"/>
          <w:szCs w:val="32"/>
        </w:rPr>
        <w:t>决算无增减变化</w:t>
      </w:r>
      <w:r>
        <w:rPr>
          <w:rFonts w:ascii="仿宋" w:hAnsi="仿宋" w:eastAsia="仿宋"/>
          <w:sz w:val="32"/>
          <w:szCs w:val="32"/>
        </w:rPr>
        <w:t>。</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公务用车运行维护费支出</w:t>
      </w:r>
      <w:r>
        <w:rPr>
          <w:rFonts w:hint="eastAsia" w:ascii="仿宋" w:hAnsi="仿宋" w:eastAsia="仿宋"/>
          <w:sz w:val="32"/>
          <w:szCs w:val="32"/>
        </w:rPr>
        <w:t>7</w:t>
      </w:r>
      <w:r>
        <w:rPr>
          <w:rFonts w:ascii="仿宋" w:hAnsi="仿宋" w:eastAsia="仿宋"/>
          <w:sz w:val="32"/>
          <w:szCs w:val="32"/>
        </w:rPr>
        <w:t>万元。本部门2017年末单位公务用车保有量</w:t>
      </w:r>
      <w:r>
        <w:rPr>
          <w:rFonts w:hint="eastAsia" w:ascii="仿宋" w:hAnsi="仿宋" w:eastAsia="仿宋"/>
          <w:sz w:val="32"/>
          <w:szCs w:val="32"/>
        </w:rPr>
        <w:t>2</w:t>
      </w:r>
      <w:r>
        <w:rPr>
          <w:rFonts w:ascii="仿宋" w:hAnsi="仿宋" w:eastAsia="仿宋"/>
          <w:sz w:val="32"/>
          <w:szCs w:val="32"/>
        </w:rPr>
        <w:t>辆。公车运行维护费支出较年初预算</w:t>
      </w:r>
      <w:r>
        <w:rPr>
          <w:rFonts w:hint="eastAsia" w:ascii="仿宋" w:hAnsi="仿宋" w:eastAsia="仿宋"/>
          <w:sz w:val="32"/>
          <w:szCs w:val="32"/>
        </w:rPr>
        <w:t>无增减变化</w:t>
      </w:r>
      <w:r>
        <w:rPr>
          <w:rFonts w:ascii="仿宋" w:hAnsi="仿宋" w:eastAsia="仿宋"/>
          <w:sz w:val="32"/>
          <w:szCs w:val="32"/>
        </w:rPr>
        <w:t>,主要原因是</w:t>
      </w:r>
      <w:r>
        <w:rPr>
          <w:rFonts w:hint="eastAsia" w:ascii="仿宋" w:hAnsi="仿宋" w:eastAsia="仿宋"/>
          <w:sz w:val="32"/>
          <w:szCs w:val="32"/>
        </w:rPr>
        <w:t>按照预算执行支出费用</w:t>
      </w:r>
      <w:r>
        <w:rPr>
          <w:rFonts w:ascii="仿宋" w:hAnsi="仿宋" w:eastAsia="仿宋"/>
          <w:sz w:val="32"/>
          <w:szCs w:val="32"/>
        </w:rPr>
        <w:t>；较2016年度决算减少</w:t>
      </w:r>
      <w:r>
        <w:rPr>
          <w:rFonts w:hint="eastAsia" w:ascii="仿宋" w:hAnsi="仿宋" w:eastAsia="仿宋"/>
          <w:sz w:val="32"/>
          <w:szCs w:val="32"/>
        </w:rPr>
        <w:t>3</w:t>
      </w:r>
      <w:r>
        <w:rPr>
          <w:rFonts w:ascii="仿宋" w:hAnsi="仿宋" w:eastAsia="仿宋"/>
          <w:sz w:val="32"/>
          <w:szCs w:val="32"/>
        </w:rPr>
        <w:t>万元，降低</w:t>
      </w:r>
      <w:r>
        <w:rPr>
          <w:rFonts w:hint="eastAsia" w:ascii="仿宋" w:hAnsi="仿宋" w:eastAsia="仿宋"/>
          <w:sz w:val="32"/>
          <w:szCs w:val="32"/>
        </w:rPr>
        <w:t>30</w:t>
      </w:r>
      <w:r>
        <w:rPr>
          <w:rFonts w:ascii="仿宋" w:hAnsi="仿宋" w:eastAsia="仿宋"/>
          <w:sz w:val="32"/>
          <w:szCs w:val="32"/>
        </w:rPr>
        <w:t>%，主要原因是</w:t>
      </w:r>
      <w:r>
        <w:rPr>
          <w:rFonts w:hint="eastAsia" w:ascii="仿宋" w:hAnsi="仿宋" w:eastAsia="仿宋"/>
          <w:sz w:val="32"/>
          <w:szCs w:val="32"/>
        </w:rPr>
        <w:t>规范公务用车使用</w:t>
      </w:r>
      <w:r>
        <w:rPr>
          <w:rFonts w:ascii="仿宋" w:hAnsi="仿宋" w:eastAsia="仿宋"/>
          <w:sz w:val="32"/>
          <w:szCs w:val="32"/>
        </w:rPr>
        <w:t>。</w:t>
      </w:r>
    </w:p>
    <w:p>
      <w:pPr>
        <w:adjustRightInd w:val="0"/>
        <w:snapToGrid w:val="0"/>
        <w:spacing w:line="584" w:lineRule="exact"/>
        <w:ind w:firstLine="640" w:firstLineChars="200"/>
        <w:rPr>
          <w:rFonts w:eastAsia="仿宋"/>
          <w:sz w:val="32"/>
          <w:szCs w:val="32"/>
        </w:rPr>
      </w:pPr>
      <w:r>
        <w:rPr>
          <w:rFonts w:ascii="楷体" w:hAnsi="楷体" w:eastAsia="楷体"/>
          <w:bCs/>
          <w:sz w:val="32"/>
          <w:szCs w:val="32"/>
        </w:rPr>
        <w:t>（三）公务接待费支出</w:t>
      </w:r>
      <w:r>
        <w:rPr>
          <w:rFonts w:hint="eastAsia" w:ascii="楷体" w:hAnsi="楷体" w:eastAsia="楷体"/>
          <w:bCs/>
          <w:sz w:val="32"/>
          <w:szCs w:val="32"/>
        </w:rPr>
        <w:t>2.5</w:t>
      </w:r>
      <w:r>
        <w:rPr>
          <w:rFonts w:ascii="楷体" w:hAnsi="楷体" w:eastAsia="楷体"/>
          <w:bCs/>
          <w:sz w:val="32"/>
          <w:szCs w:val="32"/>
        </w:rPr>
        <w:t>万元。</w:t>
      </w:r>
      <w:r>
        <w:rPr>
          <w:rFonts w:ascii="仿宋" w:hAnsi="仿宋" w:eastAsia="仿宋"/>
          <w:sz w:val="32"/>
          <w:szCs w:val="32"/>
        </w:rPr>
        <w:t>本部门2017年度公务接待共</w:t>
      </w:r>
      <w:r>
        <w:rPr>
          <w:rFonts w:hint="eastAsia" w:ascii="仿宋" w:hAnsi="仿宋" w:eastAsia="仿宋"/>
          <w:sz w:val="32"/>
          <w:szCs w:val="32"/>
        </w:rPr>
        <w:t>68</w:t>
      </w:r>
      <w:r>
        <w:rPr>
          <w:rFonts w:ascii="仿宋" w:hAnsi="仿宋" w:eastAsia="仿宋"/>
          <w:sz w:val="32"/>
          <w:szCs w:val="32"/>
        </w:rPr>
        <w:t>批次、</w:t>
      </w:r>
      <w:r>
        <w:rPr>
          <w:rFonts w:hint="eastAsia" w:ascii="仿宋" w:hAnsi="仿宋" w:eastAsia="仿宋"/>
          <w:sz w:val="32"/>
          <w:szCs w:val="32"/>
        </w:rPr>
        <w:t>834</w:t>
      </w:r>
      <w:r>
        <w:rPr>
          <w:rFonts w:ascii="仿宋" w:hAnsi="仿宋" w:eastAsia="仿宋"/>
          <w:sz w:val="32"/>
          <w:szCs w:val="32"/>
        </w:rPr>
        <w:t>人次。公务接待费支出</w:t>
      </w:r>
      <w:r>
        <w:rPr>
          <w:rFonts w:hint="eastAsia" w:ascii="仿宋" w:hAnsi="仿宋" w:eastAsia="仿宋"/>
          <w:sz w:val="32"/>
          <w:szCs w:val="32"/>
        </w:rPr>
        <w:t>与</w:t>
      </w:r>
      <w:r>
        <w:rPr>
          <w:rFonts w:ascii="仿宋" w:hAnsi="仿宋" w:eastAsia="仿宋"/>
          <w:sz w:val="32"/>
          <w:szCs w:val="32"/>
        </w:rPr>
        <w:t>年初预算</w:t>
      </w:r>
      <w:r>
        <w:rPr>
          <w:rFonts w:hint="eastAsia" w:ascii="仿宋" w:hAnsi="仿宋" w:eastAsia="仿宋"/>
          <w:sz w:val="32"/>
          <w:szCs w:val="32"/>
        </w:rPr>
        <w:t>持平</w:t>
      </w:r>
      <w:r>
        <w:rPr>
          <w:rFonts w:ascii="仿宋" w:hAnsi="仿宋" w:eastAsia="仿宋"/>
          <w:sz w:val="32"/>
          <w:szCs w:val="32"/>
        </w:rPr>
        <w:t>，降低</w:t>
      </w:r>
      <w:r>
        <w:rPr>
          <w:rFonts w:hint="eastAsia" w:ascii="仿宋" w:hAnsi="仿宋" w:eastAsia="仿宋"/>
          <w:sz w:val="32"/>
          <w:szCs w:val="32"/>
        </w:rPr>
        <w:t>0</w:t>
      </w:r>
      <w:r>
        <w:rPr>
          <w:rFonts w:ascii="仿宋" w:hAnsi="仿宋" w:eastAsia="仿宋"/>
          <w:sz w:val="32"/>
          <w:szCs w:val="32"/>
        </w:rPr>
        <w:t>%；较2016年度决算</w:t>
      </w:r>
      <w:r>
        <w:rPr>
          <w:rFonts w:hint="eastAsia" w:ascii="仿宋" w:hAnsi="仿宋" w:eastAsia="仿宋"/>
          <w:sz w:val="32"/>
          <w:szCs w:val="32"/>
        </w:rPr>
        <w:t>减少7万元，</w:t>
      </w:r>
      <w:r>
        <w:rPr>
          <w:rFonts w:ascii="仿宋" w:hAnsi="仿宋" w:eastAsia="仿宋"/>
          <w:sz w:val="32"/>
          <w:szCs w:val="32"/>
        </w:rPr>
        <w:t>主要原因是</w:t>
      </w:r>
      <w:r>
        <w:rPr>
          <w:rFonts w:hint="eastAsia" w:ascii="仿宋" w:hAnsi="仿宋" w:eastAsia="仿宋"/>
          <w:sz w:val="32"/>
          <w:szCs w:val="32"/>
        </w:rPr>
        <w:t>我单位例行勤俭节约反对浪费。</w:t>
      </w: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六、绩效预算</w:t>
      </w:r>
      <w:r>
        <w:rPr>
          <w:rFonts w:ascii="Times New Roman" w:hAnsi="Times New Roman" w:eastAsia="黑体"/>
          <w:b w:val="0"/>
          <w:kern w:val="0"/>
        </w:rPr>
        <w:t>管理</w:t>
      </w:r>
      <w:r>
        <w:rPr>
          <w:rFonts w:ascii="Times New Roman" w:hAnsi="Times New Roman" w:eastAsia="黑体"/>
          <w:b w:val="0"/>
        </w:rPr>
        <w:t>工作开展情况说明</w:t>
      </w:r>
    </w:p>
    <w:p>
      <w:pPr>
        <w:adjustRightInd w:val="0"/>
        <w:snapToGrid w:val="0"/>
        <w:spacing w:line="584" w:lineRule="exact"/>
        <w:ind w:firstLine="640" w:firstLineChars="200"/>
        <w:rPr>
          <w:rFonts w:ascii="楷体" w:hAnsi="楷体" w:eastAsia="楷体"/>
          <w:sz w:val="32"/>
          <w:szCs w:val="32"/>
        </w:rPr>
      </w:pPr>
      <w:r>
        <w:rPr>
          <w:rFonts w:ascii="楷体" w:hAnsi="楷体" w:eastAsia="楷体"/>
          <w:sz w:val="32"/>
          <w:szCs w:val="32"/>
        </w:rPr>
        <w:t>（一）绩效管理工作开展情况</w:t>
      </w:r>
    </w:p>
    <w:p>
      <w:pPr>
        <w:spacing w:line="560" w:lineRule="exact"/>
        <w:ind w:firstLine="640" w:firstLineChars="200"/>
        <w:rPr>
          <w:rFonts w:ascii="仿宋" w:hAnsi="仿宋" w:eastAsia="仿宋" w:cs="仿宋"/>
          <w:color w:val="000000"/>
          <w:sz w:val="32"/>
          <w:szCs w:val="32"/>
        </w:rPr>
      </w:pPr>
      <w:r>
        <w:rPr>
          <w:rFonts w:hint="eastAsia" w:ascii="仿宋" w:hAnsi="仿宋" w:eastAsia="仿宋"/>
          <w:sz w:val="32"/>
        </w:rPr>
        <w:t>为深入贯彻落实预算法，进一步建立科学规范的绩效预算运行监控体系，提高财政资金使用绩效，根据《河北省省级绩效预算运行监控管理办法(试行)》（冀财库【2016】47号）和有关规定，</w:t>
      </w:r>
      <w:r>
        <w:rPr>
          <w:rFonts w:ascii="仿宋" w:hAnsi="仿宋" w:eastAsia="仿宋" w:cs="仿宋"/>
          <w:color w:val="000000"/>
          <w:sz w:val="32"/>
          <w:szCs w:val="32"/>
        </w:rPr>
        <w:t>201</w:t>
      </w:r>
      <w:r>
        <w:rPr>
          <w:rFonts w:hint="eastAsia" w:ascii="仿宋" w:hAnsi="仿宋" w:eastAsia="仿宋" w:cs="仿宋"/>
          <w:color w:val="000000"/>
          <w:sz w:val="32"/>
          <w:szCs w:val="32"/>
        </w:rPr>
        <w:t>7年我镇</w:t>
      </w:r>
      <w:r>
        <w:rPr>
          <w:rFonts w:hint="eastAsia" w:ascii="仿宋" w:hAnsi="仿宋" w:eastAsia="仿宋"/>
          <w:sz w:val="32"/>
        </w:rPr>
        <w:t>进一步建立科学规范的绩效预算运行监控体系，提高财政资金使用绩效，</w:t>
      </w:r>
      <w:r>
        <w:rPr>
          <w:rFonts w:hint="eastAsia" w:ascii="仿宋" w:hAnsi="仿宋" w:eastAsia="仿宋" w:cs="仿宋"/>
          <w:color w:val="000000"/>
          <w:sz w:val="32"/>
          <w:szCs w:val="32"/>
        </w:rPr>
        <w:t>我镇按照预算绩效管理改革要求，以绩效为导向，严格执行绩效预算管理。按照省市文件要求，我单位重新修订了部门职责、工作活动及绩效评价指标，对预算项目执行及工作活动进行了绩效评价，并将绩效评价结果应用到实际工作中，进一步提升了部门预算绩效管理工作水平。</w:t>
      </w:r>
    </w:p>
    <w:p>
      <w:pPr>
        <w:adjustRightInd w:val="0"/>
        <w:snapToGrid w:val="0"/>
        <w:spacing w:line="584" w:lineRule="exact"/>
        <w:ind w:firstLine="640" w:firstLineChars="200"/>
        <w:rPr>
          <w:rFonts w:ascii="楷体" w:hAnsi="楷体" w:eastAsia="楷体"/>
          <w:sz w:val="32"/>
          <w:szCs w:val="32"/>
        </w:rPr>
      </w:pPr>
      <w:r>
        <w:rPr>
          <w:rFonts w:ascii="楷体" w:hAnsi="楷体" w:eastAsia="楷体"/>
          <w:sz w:val="32"/>
          <w:szCs w:val="32"/>
        </w:rPr>
        <w:t>（二）预算项目绩效评价开展情况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深入推进全过程预算绩效管理，不断完善项目管理，进一步落实支出责任，加快预算执行进度，更好地实现绩效目标，我镇对环境综合治理、造林绿化等项目开展绩效监控工作。建立了“部门职责-工作活动-预算项目”三个层级的绩效预算管理结构和绩效目标指标管理体系，预算编制进一步科学、规范、高效。</w:t>
      </w:r>
    </w:p>
    <w:p>
      <w:pPr>
        <w:numPr>
          <w:ilvl w:val="0"/>
          <w:numId w:val="1"/>
        </w:numPr>
        <w:adjustRightInd w:val="0"/>
        <w:snapToGrid w:val="0"/>
        <w:spacing w:line="584" w:lineRule="exact"/>
        <w:ind w:firstLine="640" w:firstLineChars="200"/>
        <w:rPr>
          <w:rFonts w:ascii="楷体" w:hAnsi="楷体" w:eastAsia="楷体"/>
          <w:sz w:val="32"/>
          <w:szCs w:val="32"/>
        </w:rPr>
      </w:pPr>
      <w:r>
        <w:rPr>
          <w:rFonts w:ascii="楷体" w:hAnsi="楷体" w:eastAsia="楷体"/>
          <w:sz w:val="32"/>
          <w:szCs w:val="32"/>
        </w:rPr>
        <w:t>预算项目绩效自评选例</w:t>
      </w:r>
    </w:p>
    <w:p>
      <w:pPr>
        <w:pStyle w:val="5"/>
        <w:spacing w:before="74" w:line="520" w:lineRule="exact"/>
        <w:ind w:right="429" w:firstLine="640"/>
        <w:rPr>
          <w:rFonts w:ascii="仿宋" w:hAnsi="仿宋" w:eastAsia="仿宋" w:cs="Tahoma"/>
          <w:kern w:val="0"/>
          <w:sz w:val="32"/>
          <w:szCs w:val="32"/>
        </w:rPr>
      </w:pPr>
      <w:r>
        <w:rPr>
          <w:rFonts w:hint="eastAsia" w:ascii="仿宋" w:hAnsi="仿宋" w:eastAsia="仿宋"/>
          <w:w w:val="95"/>
          <w:sz w:val="32"/>
          <w:szCs w:val="32"/>
        </w:rPr>
        <w:t>按照市财政预算绩效管理要求，对</w:t>
      </w:r>
      <w:r>
        <w:rPr>
          <w:rFonts w:ascii="仿宋" w:hAnsi="仿宋" w:eastAsia="仿宋"/>
          <w:w w:val="95"/>
          <w:sz w:val="32"/>
          <w:szCs w:val="32"/>
        </w:rPr>
        <w:t>2017</w:t>
      </w:r>
      <w:r>
        <w:rPr>
          <w:rFonts w:hint="eastAsia" w:ascii="仿宋" w:hAnsi="仿宋" w:eastAsia="仿宋"/>
          <w:w w:val="95"/>
          <w:sz w:val="32"/>
          <w:szCs w:val="32"/>
        </w:rPr>
        <w:t>年我部门绩效预算执行情况全面开展了自评，自评结果为良好。我部门对预算绩效评价结果进行了认真分析，对管理中存在的问题，提出改进措施。预算绩效管理工作有效的减少了我部门资金使用管理中的损失浪费现象，使资金达到了合理、优化配给。</w:t>
      </w:r>
      <w:r>
        <w:rPr>
          <w:rFonts w:hint="eastAsia" w:ascii="仿宋" w:hAnsi="仿宋" w:eastAsia="仿宋" w:cs="Tahoma"/>
          <w:kern w:val="0"/>
          <w:sz w:val="32"/>
          <w:szCs w:val="32"/>
        </w:rPr>
        <w:t>《大城县权村镇2017年绩效预算文本》中“部门职责</w:t>
      </w:r>
      <w:r>
        <w:rPr>
          <w:rFonts w:ascii="仿宋" w:hAnsi="仿宋" w:eastAsia="仿宋" w:cs="Tahoma"/>
          <w:kern w:val="0"/>
          <w:sz w:val="32"/>
          <w:szCs w:val="32"/>
        </w:rPr>
        <w:t>-</w:t>
      </w:r>
      <w:r>
        <w:rPr>
          <w:rFonts w:hint="eastAsia" w:ascii="仿宋" w:hAnsi="仿宋" w:eastAsia="仿宋" w:cs="Tahoma"/>
          <w:kern w:val="0"/>
          <w:sz w:val="32"/>
          <w:szCs w:val="32"/>
        </w:rPr>
        <w:t>工作活动绩效目标体系”共包括18项绩效指标。</w:t>
      </w:r>
    </w:p>
    <w:p>
      <w:pPr>
        <w:jc w:val="center"/>
        <w:outlineLvl w:val="0"/>
        <w:rPr>
          <w:rFonts w:ascii="仿宋" w:hAnsi="仿宋" w:eastAsia="仿宋" w:cs="Tahoma"/>
          <w:kern w:val="0"/>
          <w:sz w:val="32"/>
          <w:szCs w:val="32"/>
        </w:rPr>
      </w:pPr>
      <w:bookmarkStart w:id="0" w:name="_Toc478386931"/>
      <w:r>
        <w:rPr>
          <w:rFonts w:hint="eastAsia" w:ascii="方正小标宋_GBK" w:eastAsia="方正小标宋_GBK"/>
          <w:sz w:val="32"/>
        </w:rPr>
        <w:t>部门职责-工作活动绩效目标</w:t>
      </w:r>
      <w:bookmarkEnd w:id="0"/>
    </w:p>
    <w:tbl>
      <w:tblPr>
        <w:tblStyle w:val="8"/>
        <w:tblW w:w="9732" w:type="dxa"/>
        <w:jc w:val="center"/>
        <w:tblInd w:w="20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1"/>
        <w:gridCol w:w="1104"/>
        <w:gridCol w:w="1776"/>
        <w:gridCol w:w="1898"/>
        <w:gridCol w:w="997"/>
        <w:gridCol w:w="830"/>
        <w:gridCol w:w="750"/>
        <w:gridCol w:w="720"/>
        <w:gridCol w:w="7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6666"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sz w:val="24"/>
              </w:rPr>
            </w:pPr>
            <w:r>
              <w:rPr>
                <w:rFonts w:ascii="方正小标宋_GBK" w:eastAsia="方正小标宋_GBK"/>
                <w:sz w:val="24"/>
              </w:rPr>
              <w:t>509</w:t>
            </w:r>
            <w:r>
              <w:rPr>
                <w:rFonts w:hint="eastAsia" w:ascii="方正小标宋_GBK" w:eastAsia="方正小标宋_GBK"/>
                <w:sz w:val="24"/>
              </w:rPr>
              <w:t>大城县权村镇人民政府</w:t>
            </w:r>
          </w:p>
        </w:tc>
        <w:tc>
          <w:tcPr>
            <w:tcW w:w="3066" w:type="dxa"/>
            <w:gridSpan w:val="4"/>
            <w:tcBorders>
              <w:top w:val="single" w:color="FFFFFF" w:sz="6" w:space="0"/>
              <w:left w:val="single" w:color="FFFFFF" w:sz="6" w:space="0"/>
              <w:right w:val="single" w:color="FFFFFF" w:sz="6" w:space="0"/>
            </w:tcBorders>
            <w:vAlign w:val="center"/>
          </w:tcPr>
          <w:p>
            <w:pPr>
              <w:spacing w:line="300" w:lineRule="exact"/>
              <w:jc w:val="center"/>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89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104"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17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1898"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9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066"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891" w:type="dxa"/>
            <w:vMerge w:val="continue"/>
            <w:vAlign w:val="center"/>
          </w:tcPr>
          <w:p>
            <w:pPr>
              <w:spacing w:line="300" w:lineRule="exact"/>
              <w:jc w:val="center"/>
              <w:outlineLvl w:val="0"/>
            </w:pPr>
          </w:p>
        </w:tc>
        <w:tc>
          <w:tcPr>
            <w:tcW w:w="1104" w:type="dxa"/>
            <w:vMerge w:val="continue"/>
            <w:vAlign w:val="center"/>
          </w:tcPr>
          <w:p>
            <w:pPr>
              <w:spacing w:line="300" w:lineRule="exact"/>
              <w:jc w:val="center"/>
              <w:outlineLvl w:val="0"/>
            </w:pPr>
          </w:p>
        </w:tc>
        <w:tc>
          <w:tcPr>
            <w:tcW w:w="1776" w:type="dxa"/>
            <w:vMerge w:val="continue"/>
            <w:vAlign w:val="center"/>
          </w:tcPr>
          <w:p>
            <w:pPr>
              <w:spacing w:line="300" w:lineRule="exact"/>
              <w:jc w:val="center"/>
              <w:outlineLvl w:val="0"/>
            </w:pPr>
          </w:p>
        </w:tc>
        <w:tc>
          <w:tcPr>
            <w:tcW w:w="1898" w:type="dxa"/>
            <w:vMerge w:val="continue"/>
            <w:vAlign w:val="center"/>
          </w:tcPr>
          <w:p>
            <w:pPr>
              <w:spacing w:line="300" w:lineRule="exact"/>
              <w:jc w:val="center"/>
              <w:outlineLvl w:val="0"/>
            </w:pPr>
          </w:p>
        </w:tc>
        <w:tc>
          <w:tcPr>
            <w:tcW w:w="997" w:type="dxa"/>
            <w:vMerge w:val="continue"/>
            <w:vAlign w:val="center"/>
          </w:tcPr>
          <w:p>
            <w:pPr>
              <w:spacing w:line="300" w:lineRule="exact"/>
              <w:jc w:val="center"/>
              <w:outlineLvl w:val="0"/>
            </w:pPr>
          </w:p>
        </w:tc>
        <w:tc>
          <w:tcPr>
            <w:tcW w:w="830"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50"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20"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66"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Align w:val="center"/>
          </w:tcPr>
          <w:p>
            <w:pPr>
              <w:spacing w:line="300" w:lineRule="exact"/>
              <w:rPr>
                <w:rFonts w:ascii="方正书宋_GBK" w:eastAsia="方正书宋_GBK"/>
                <w:b/>
              </w:rPr>
            </w:pPr>
            <w:r>
              <w:rPr>
                <w:rFonts w:hint="eastAsia" w:ascii="方正书宋_GBK" w:eastAsia="方正书宋_GBK"/>
                <w:b/>
              </w:rPr>
              <w:t>计划生育</w:t>
            </w:r>
          </w:p>
        </w:tc>
        <w:tc>
          <w:tcPr>
            <w:tcW w:w="1104" w:type="dxa"/>
            <w:vAlign w:val="center"/>
          </w:tcPr>
          <w:p>
            <w:pPr>
              <w:spacing w:line="300" w:lineRule="exact"/>
              <w:jc w:val="center"/>
              <w:rPr>
                <w:rFonts w:ascii="方正书宋_GBK" w:eastAsia="方正书宋_GBK"/>
              </w:rPr>
            </w:pPr>
            <w:r>
              <w:rPr>
                <w:rFonts w:hint="eastAsia" w:ascii="方正书宋_GBK" w:eastAsia="方正书宋_GBK"/>
              </w:rPr>
              <w:t>42.5</w:t>
            </w:r>
          </w:p>
          <w:p>
            <w:pPr>
              <w:spacing w:line="300" w:lineRule="exact"/>
              <w:jc w:val="center"/>
              <w:rPr>
                <w:rFonts w:ascii="方正书宋_GBK" w:eastAsia="方正书宋_GBK"/>
              </w:rPr>
            </w:pPr>
          </w:p>
        </w:tc>
        <w:tc>
          <w:tcPr>
            <w:tcW w:w="1776" w:type="dxa"/>
            <w:vAlign w:val="center"/>
          </w:tcPr>
          <w:p>
            <w:pPr>
              <w:spacing w:line="300" w:lineRule="exact"/>
              <w:jc w:val="center"/>
              <w:rPr>
                <w:rFonts w:ascii="方正书宋_GBK" w:eastAsia="方正书宋_GBK"/>
              </w:rPr>
            </w:pPr>
            <w:r>
              <w:rPr>
                <w:rFonts w:hint="eastAsia" w:ascii="方正书宋_GBK" w:eastAsia="方正书宋_GBK"/>
              </w:rPr>
              <w:t>坚持计划生育基本国策，提供各类计划生育技术服务，建立计划生育利益导向机制，开展出生人口性别比治理以及流动人口计划生育管理等各项工作</w:t>
            </w:r>
          </w:p>
        </w:tc>
        <w:tc>
          <w:tcPr>
            <w:tcW w:w="1898" w:type="dxa"/>
            <w:vAlign w:val="center"/>
          </w:tcPr>
          <w:p>
            <w:pPr>
              <w:spacing w:line="300" w:lineRule="exact"/>
              <w:jc w:val="center"/>
              <w:rPr>
                <w:rFonts w:ascii="方正书宋_GBK" w:eastAsia="方正书宋_GBK"/>
              </w:rPr>
            </w:pPr>
            <w:r>
              <w:rPr>
                <w:rFonts w:hint="eastAsia" w:ascii="方正书宋_GBK" w:eastAsia="方正书宋_GBK"/>
              </w:rPr>
              <w:t>保持适度的低生育水平，有效保障计划生育家庭生活水平，提高妇女生殖健康水平，降低出生缺陷的发生，有效遏制出生人口性别比偏高问题。</w:t>
            </w:r>
          </w:p>
        </w:tc>
        <w:tc>
          <w:tcPr>
            <w:tcW w:w="997" w:type="dxa"/>
            <w:vAlign w:val="center"/>
          </w:tcPr>
          <w:p>
            <w:pPr>
              <w:spacing w:line="300" w:lineRule="exact"/>
              <w:jc w:val="center"/>
              <w:rPr>
                <w:rFonts w:ascii="方正书宋_GBK" w:eastAsia="方正书宋_GBK"/>
              </w:rPr>
            </w:pPr>
          </w:p>
        </w:tc>
        <w:tc>
          <w:tcPr>
            <w:tcW w:w="830" w:type="dxa"/>
            <w:vAlign w:val="center"/>
          </w:tcPr>
          <w:p>
            <w:pPr>
              <w:spacing w:line="300" w:lineRule="exact"/>
              <w:jc w:val="center"/>
              <w:rPr>
                <w:rFonts w:ascii="方正书宋_GBK" w:eastAsia="方正书宋_GBK"/>
              </w:rPr>
            </w:pPr>
          </w:p>
        </w:tc>
        <w:tc>
          <w:tcPr>
            <w:tcW w:w="750" w:type="dxa"/>
            <w:vAlign w:val="center"/>
          </w:tcPr>
          <w:p>
            <w:pPr>
              <w:spacing w:line="300" w:lineRule="exact"/>
              <w:jc w:val="center"/>
              <w:rPr>
                <w:rFonts w:ascii="方正书宋_GBK" w:eastAsia="方正书宋_GBK"/>
              </w:rPr>
            </w:pPr>
          </w:p>
        </w:tc>
        <w:tc>
          <w:tcPr>
            <w:tcW w:w="720" w:type="dxa"/>
            <w:vAlign w:val="center"/>
          </w:tcPr>
          <w:p>
            <w:pPr>
              <w:spacing w:line="300" w:lineRule="exact"/>
              <w:jc w:val="center"/>
              <w:rPr>
                <w:rFonts w:ascii="方正书宋_GBK" w:eastAsia="方正书宋_GBK"/>
              </w:rPr>
            </w:pPr>
          </w:p>
        </w:tc>
        <w:tc>
          <w:tcPr>
            <w:tcW w:w="766"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Merge w:val="restart"/>
            <w:vAlign w:val="center"/>
          </w:tcPr>
          <w:p>
            <w:pPr>
              <w:spacing w:line="300" w:lineRule="exact"/>
              <w:rPr>
                <w:rFonts w:ascii="方正书宋_GBK" w:eastAsia="方正书宋_GBK"/>
                <w:b/>
              </w:rPr>
            </w:pPr>
            <w:r>
              <w:rPr>
                <w:rFonts w:hint="eastAsia" w:ascii="方正书宋_GBK" w:eastAsia="方正书宋_GBK"/>
                <w:b/>
              </w:rPr>
              <w:t>计划生育家庭发展</w:t>
            </w:r>
          </w:p>
          <w:p>
            <w:pPr>
              <w:spacing w:line="300" w:lineRule="exact"/>
              <w:ind w:firstLine="420"/>
              <w:jc w:val="center"/>
              <w:rPr>
                <w:rFonts w:ascii="方正书宋_GBK" w:eastAsia="方正书宋_GBK"/>
                <w:b/>
              </w:rPr>
            </w:pPr>
          </w:p>
          <w:p>
            <w:pPr>
              <w:spacing w:line="300" w:lineRule="exact"/>
              <w:ind w:firstLine="420"/>
              <w:jc w:val="center"/>
              <w:rPr>
                <w:rFonts w:ascii="方正书宋_GBK" w:eastAsia="方正书宋_GBK"/>
                <w:b/>
              </w:rPr>
            </w:pPr>
          </w:p>
          <w:p>
            <w:pPr>
              <w:spacing w:line="300" w:lineRule="exact"/>
              <w:ind w:firstLine="210" w:firstLineChars="100"/>
              <w:jc w:val="center"/>
              <w:rPr>
                <w:rFonts w:ascii="方正书宋_GBK" w:eastAsia="方正书宋_GBK"/>
                <w:b/>
              </w:rPr>
            </w:pPr>
            <w:r>
              <w:rPr>
                <w:rFonts w:hint="eastAsia" w:ascii="方正书宋_GBK" w:eastAsia="方正书宋_GBK"/>
                <w:b/>
              </w:rPr>
              <w:t>与利益导向机制建设</w:t>
            </w:r>
          </w:p>
        </w:tc>
        <w:tc>
          <w:tcPr>
            <w:tcW w:w="1104" w:type="dxa"/>
            <w:vMerge w:val="restart"/>
            <w:vAlign w:val="center"/>
          </w:tcPr>
          <w:p>
            <w:pPr>
              <w:spacing w:line="300" w:lineRule="exact"/>
              <w:jc w:val="center"/>
              <w:rPr>
                <w:rFonts w:ascii="方正书宋_GBK" w:eastAsia="方正书宋_GBK"/>
              </w:rPr>
            </w:pPr>
            <w:r>
              <w:rPr>
                <w:rFonts w:hint="eastAsia" w:ascii="方正书宋_GBK" w:eastAsia="方正书宋_GBK"/>
              </w:rPr>
              <w:t>8.8</w:t>
            </w:r>
          </w:p>
        </w:tc>
        <w:tc>
          <w:tcPr>
            <w:tcW w:w="1776" w:type="dxa"/>
            <w:vMerge w:val="restart"/>
            <w:vAlign w:val="center"/>
          </w:tcPr>
          <w:p>
            <w:pPr>
              <w:spacing w:line="300" w:lineRule="exact"/>
              <w:jc w:val="center"/>
              <w:rPr>
                <w:rFonts w:ascii="方正书宋_GBK" w:eastAsia="方正书宋_GBK"/>
              </w:rPr>
            </w:pPr>
            <w:r>
              <w:rPr>
                <w:rFonts w:hint="eastAsia" w:ascii="方正书宋_GBK" w:eastAsia="方正书宋_GBK"/>
              </w:rPr>
              <w:t>通过实施国家奖扶、特扶等制度，创建幸福家庭等工作，全面提高计划生育家庭的发展能力。</w:t>
            </w:r>
          </w:p>
        </w:tc>
        <w:tc>
          <w:tcPr>
            <w:tcW w:w="1898" w:type="dxa"/>
            <w:vMerge w:val="restart"/>
            <w:vAlign w:val="center"/>
          </w:tcPr>
          <w:p>
            <w:pPr>
              <w:spacing w:line="300" w:lineRule="exact"/>
              <w:jc w:val="center"/>
              <w:rPr>
                <w:rFonts w:ascii="方正书宋_GBK" w:eastAsia="方正书宋_GBK"/>
              </w:rPr>
            </w:pPr>
            <w:r>
              <w:rPr>
                <w:rFonts w:hint="eastAsia" w:ascii="方正书宋_GBK" w:eastAsia="方正书宋_GBK"/>
              </w:rPr>
              <w:t>有效引导群众自觉实行计划生育，加强计划生育家庭的发展能力，提高计划生育家庭的凝聚力及成员幸福感。</w:t>
            </w:r>
          </w:p>
        </w:tc>
        <w:tc>
          <w:tcPr>
            <w:tcW w:w="997" w:type="dxa"/>
            <w:vAlign w:val="center"/>
          </w:tcPr>
          <w:p>
            <w:pPr>
              <w:spacing w:line="300" w:lineRule="exact"/>
              <w:jc w:val="center"/>
              <w:rPr>
                <w:rFonts w:ascii="方正书宋_GBK" w:eastAsia="方正书宋_GBK"/>
              </w:rPr>
            </w:pPr>
            <w:r>
              <w:rPr>
                <w:rFonts w:hint="eastAsia" w:ascii="方正书宋_GBK" w:eastAsia="方正书宋_GBK"/>
              </w:rPr>
              <w:t>计划生育家庭特别扶助政策落实率</w:t>
            </w:r>
          </w:p>
        </w:tc>
        <w:tc>
          <w:tcPr>
            <w:tcW w:w="830" w:type="dxa"/>
            <w:vAlign w:val="center"/>
          </w:tcPr>
          <w:p>
            <w:pPr>
              <w:spacing w:line="300" w:lineRule="exact"/>
              <w:jc w:val="center"/>
              <w:rPr>
                <w:rFonts w:ascii="方正书宋_GBK" w:eastAsia="方正书宋_GBK"/>
              </w:rPr>
            </w:pPr>
            <w:r>
              <w:rPr>
                <w:rFonts w:ascii="方正书宋_GBK" w:eastAsia="方正书宋_GBK"/>
              </w:rPr>
              <w:t>100%</w:t>
            </w:r>
          </w:p>
        </w:tc>
        <w:tc>
          <w:tcPr>
            <w:tcW w:w="75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66"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Merge w:val="continue"/>
            <w:vAlign w:val="center"/>
          </w:tcPr>
          <w:p>
            <w:pPr>
              <w:spacing w:line="300" w:lineRule="exact"/>
              <w:jc w:val="center"/>
              <w:rPr>
                <w:rFonts w:ascii="方正书宋_GBK" w:eastAsia="方正书宋_GBK"/>
                <w:b/>
              </w:rPr>
            </w:pPr>
          </w:p>
        </w:tc>
        <w:tc>
          <w:tcPr>
            <w:tcW w:w="1104" w:type="dxa"/>
            <w:vMerge w:val="continue"/>
            <w:vAlign w:val="center"/>
          </w:tcPr>
          <w:p>
            <w:pPr>
              <w:spacing w:line="300" w:lineRule="exact"/>
              <w:jc w:val="center"/>
              <w:rPr>
                <w:rFonts w:ascii="方正书宋_GBK" w:eastAsia="方正书宋_GBK"/>
              </w:rPr>
            </w:pPr>
          </w:p>
        </w:tc>
        <w:tc>
          <w:tcPr>
            <w:tcW w:w="1776" w:type="dxa"/>
            <w:vMerge w:val="continue"/>
            <w:vAlign w:val="center"/>
          </w:tcPr>
          <w:p>
            <w:pPr>
              <w:spacing w:line="300" w:lineRule="exact"/>
              <w:jc w:val="center"/>
              <w:rPr>
                <w:rFonts w:ascii="方正书宋_GBK" w:eastAsia="方正书宋_GBK"/>
              </w:rPr>
            </w:pPr>
          </w:p>
        </w:tc>
        <w:tc>
          <w:tcPr>
            <w:tcW w:w="1898" w:type="dxa"/>
            <w:vMerge w:val="continue"/>
            <w:vAlign w:val="center"/>
          </w:tcPr>
          <w:p>
            <w:pPr>
              <w:spacing w:line="300" w:lineRule="exact"/>
              <w:jc w:val="center"/>
              <w:rPr>
                <w:rFonts w:ascii="方正书宋_GBK" w:eastAsia="方正书宋_GBK"/>
              </w:rPr>
            </w:pPr>
          </w:p>
        </w:tc>
        <w:tc>
          <w:tcPr>
            <w:tcW w:w="997" w:type="dxa"/>
            <w:vAlign w:val="center"/>
          </w:tcPr>
          <w:p>
            <w:pPr>
              <w:spacing w:line="300" w:lineRule="exact"/>
              <w:jc w:val="center"/>
              <w:rPr>
                <w:rFonts w:ascii="方正书宋_GBK" w:eastAsia="方正书宋_GBK"/>
              </w:rPr>
            </w:pPr>
            <w:r>
              <w:rPr>
                <w:rFonts w:hint="eastAsia" w:ascii="方正书宋_GBK" w:eastAsia="方正书宋_GBK"/>
              </w:rPr>
              <w:t>农村部分计划生育家庭奖励扶助政策落实率</w:t>
            </w:r>
          </w:p>
        </w:tc>
        <w:tc>
          <w:tcPr>
            <w:tcW w:w="830" w:type="dxa"/>
            <w:vAlign w:val="center"/>
          </w:tcPr>
          <w:p>
            <w:pPr>
              <w:spacing w:line="300" w:lineRule="exact"/>
              <w:jc w:val="center"/>
              <w:rPr>
                <w:rFonts w:ascii="方正书宋_GBK" w:eastAsia="方正书宋_GBK"/>
              </w:rPr>
            </w:pPr>
            <w:r>
              <w:rPr>
                <w:rFonts w:ascii="方正书宋_GBK" w:eastAsia="方正书宋_GBK"/>
              </w:rPr>
              <w:t>100%</w:t>
            </w:r>
          </w:p>
        </w:tc>
        <w:tc>
          <w:tcPr>
            <w:tcW w:w="75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66"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Align w:val="center"/>
          </w:tcPr>
          <w:p>
            <w:pPr>
              <w:spacing w:line="300" w:lineRule="exact"/>
              <w:jc w:val="center"/>
              <w:rPr>
                <w:rFonts w:ascii="方正书宋_GBK" w:eastAsia="方正书宋_GBK"/>
                <w:b/>
              </w:rPr>
            </w:pPr>
            <w:r>
              <w:rPr>
                <w:rFonts w:hint="eastAsia" w:ascii="方正书宋_GBK" w:eastAsia="方正书宋_GBK"/>
                <w:b/>
              </w:rPr>
              <w:t>计划生育指导与管理</w:t>
            </w:r>
          </w:p>
        </w:tc>
        <w:tc>
          <w:tcPr>
            <w:tcW w:w="1104" w:type="dxa"/>
            <w:vAlign w:val="center"/>
          </w:tcPr>
          <w:p>
            <w:pPr>
              <w:spacing w:line="300" w:lineRule="exact"/>
              <w:jc w:val="center"/>
              <w:rPr>
                <w:rFonts w:ascii="方正书宋_GBK" w:eastAsia="方正书宋_GBK"/>
              </w:rPr>
            </w:pPr>
            <w:r>
              <w:rPr>
                <w:rFonts w:hint="eastAsia" w:ascii="方正书宋_GBK" w:eastAsia="方正书宋_GBK"/>
              </w:rPr>
              <w:t>33.7</w:t>
            </w:r>
          </w:p>
        </w:tc>
        <w:tc>
          <w:tcPr>
            <w:tcW w:w="1776" w:type="dxa"/>
            <w:vAlign w:val="center"/>
          </w:tcPr>
          <w:p>
            <w:pPr>
              <w:spacing w:line="300" w:lineRule="exact"/>
              <w:jc w:val="center"/>
              <w:rPr>
                <w:rFonts w:ascii="方正书宋_GBK" w:eastAsia="方正书宋_GBK"/>
              </w:rPr>
            </w:pPr>
            <w:r>
              <w:rPr>
                <w:rFonts w:hint="eastAsia" w:ascii="方正书宋_GBK" w:eastAsia="方正书宋_GBK"/>
              </w:rPr>
              <w:t>做好出生人口性别比治理工作，加强流动人口计划生育管理，提升基层基础计划生育队伍服务水平。</w:t>
            </w:r>
          </w:p>
        </w:tc>
        <w:tc>
          <w:tcPr>
            <w:tcW w:w="1898" w:type="dxa"/>
            <w:vAlign w:val="center"/>
          </w:tcPr>
          <w:p>
            <w:pPr>
              <w:spacing w:line="300" w:lineRule="exact"/>
              <w:jc w:val="center"/>
              <w:rPr>
                <w:rFonts w:ascii="方正书宋_GBK" w:eastAsia="方正书宋_GBK"/>
              </w:rPr>
            </w:pPr>
            <w:r>
              <w:rPr>
                <w:rFonts w:hint="eastAsia" w:ascii="方正书宋_GBK" w:eastAsia="方正书宋_GBK"/>
              </w:rPr>
              <w:t>逐步扩大流动人口卫生计生基本公共服务均等化覆盖面，提高计划生育依法行政能力，提高各类人群计划生育服务满意度，促进社会和谐发展。</w:t>
            </w:r>
          </w:p>
        </w:tc>
        <w:tc>
          <w:tcPr>
            <w:tcW w:w="997" w:type="dxa"/>
            <w:vAlign w:val="center"/>
          </w:tcPr>
          <w:p>
            <w:pPr>
              <w:spacing w:line="300" w:lineRule="exact"/>
              <w:jc w:val="center"/>
              <w:rPr>
                <w:rFonts w:ascii="方正书宋_GBK" w:eastAsia="方正书宋_GBK"/>
              </w:rPr>
            </w:pPr>
            <w:r>
              <w:rPr>
                <w:rFonts w:hint="eastAsia" w:ascii="方正书宋_GBK" w:eastAsia="方正书宋_GBK"/>
              </w:rPr>
              <w:t>流动人口计划生育服务满意率</w:t>
            </w:r>
          </w:p>
        </w:tc>
        <w:tc>
          <w:tcPr>
            <w:tcW w:w="8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5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66" w:type="dxa"/>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Merge w:val="restart"/>
            <w:vAlign w:val="center"/>
          </w:tcPr>
          <w:p>
            <w:pPr>
              <w:spacing w:line="300" w:lineRule="exact"/>
              <w:jc w:val="center"/>
              <w:rPr>
                <w:rFonts w:ascii="方正书宋_GBK" w:eastAsia="方正书宋_GBK"/>
                <w:b/>
              </w:rPr>
            </w:pPr>
            <w:r>
              <w:rPr>
                <w:rFonts w:hint="eastAsia" w:ascii="方正书宋_GBK" w:eastAsia="方正书宋_GBK"/>
                <w:b/>
              </w:rPr>
              <w:t>计划生育群众工作</w:t>
            </w:r>
          </w:p>
        </w:tc>
        <w:tc>
          <w:tcPr>
            <w:tcW w:w="1104" w:type="dxa"/>
            <w:vMerge w:val="restart"/>
            <w:vAlign w:val="center"/>
          </w:tcPr>
          <w:p>
            <w:pPr>
              <w:spacing w:line="300" w:lineRule="exact"/>
              <w:jc w:val="center"/>
              <w:rPr>
                <w:rFonts w:ascii="方正书宋_GBK" w:eastAsia="方正书宋_GBK"/>
              </w:rPr>
            </w:pPr>
          </w:p>
        </w:tc>
        <w:tc>
          <w:tcPr>
            <w:tcW w:w="1776" w:type="dxa"/>
            <w:vMerge w:val="restart"/>
            <w:vAlign w:val="center"/>
          </w:tcPr>
          <w:p>
            <w:pPr>
              <w:spacing w:line="300" w:lineRule="exact"/>
              <w:jc w:val="center"/>
              <w:rPr>
                <w:rFonts w:ascii="方正书宋_GBK" w:eastAsia="方正书宋_GBK"/>
              </w:rPr>
            </w:pPr>
            <w:r>
              <w:rPr>
                <w:rFonts w:hint="eastAsia" w:ascii="方正书宋_GBK" w:eastAsia="方正书宋_GBK"/>
              </w:rPr>
              <w:t>协助政府开展计划生育群众自治、亲情关爱及幸福工程等工作，动员广大群众自觉参与和实行各项计划生育政策。</w:t>
            </w:r>
          </w:p>
        </w:tc>
        <w:tc>
          <w:tcPr>
            <w:tcW w:w="1898" w:type="dxa"/>
            <w:vMerge w:val="restart"/>
            <w:vAlign w:val="center"/>
          </w:tcPr>
          <w:p>
            <w:pPr>
              <w:spacing w:line="300" w:lineRule="exact"/>
              <w:jc w:val="center"/>
              <w:rPr>
                <w:rFonts w:ascii="方正书宋_GBK" w:eastAsia="方正书宋_GBK"/>
              </w:rPr>
            </w:pPr>
            <w:r>
              <w:rPr>
                <w:rFonts w:hint="eastAsia" w:ascii="方正书宋_GBK" w:eastAsia="方正书宋_GBK"/>
              </w:rPr>
              <w:t>增进广大育龄群众和计生家庭福祉，提高群众自觉实行计划生育的积极性。</w:t>
            </w:r>
          </w:p>
        </w:tc>
        <w:tc>
          <w:tcPr>
            <w:tcW w:w="997" w:type="dxa"/>
            <w:vAlign w:val="center"/>
          </w:tcPr>
          <w:p>
            <w:pPr>
              <w:spacing w:line="300" w:lineRule="exact"/>
              <w:jc w:val="center"/>
              <w:rPr>
                <w:rFonts w:ascii="方正书宋_GBK" w:eastAsia="方正书宋_GBK"/>
              </w:rPr>
            </w:pPr>
            <w:r>
              <w:rPr>
                <w:rFonts w:hint="eastAsia" w:ascii="方正书宋_GBK" w:eastAsia="方正书宋_GBK"/>
              </w:rPr>
              <w:t>试点地区失独家庭</w:t>
            </w:r>
            <w:r>
              <w:rPr>
                <w:rFonts w:hint="cs" w:ascii="方正书宋_GBK" w:eastAsia="方正书宋_GBK"/>
                <w:cs/>
              </w:rPr>
              <w:t>“</w:t>
            </w:r>
            <w:r>
              <w:rPr>
                <w:rFonts w:hint="eastAsia" w:ascii="方正书宋_GBK" w:eastAsia="方正书宋_GBK"/>
              </w:rPr>
              <w:t>亲情关爱</w:t>
            </w:r>
            <w:r>
              <w:rPr>
                <w:rFonts w:hint="cs" w:ascii="方正书宋_GBK" w:eastAsia="方正书宋_GBK"/>
                <w:cs/>
              </w:rPr>
              <w:t>”</w:t>
            </w:r>
            <w:r>
              <w:rPr>
                <w:rFonts w:hint="eastAsia" w:ascii="方正书宋_GBK" w:eastAsia="方正书宋_GBK"/>
              </w:rPr>
              <w:t>帮扶覆盖面</w:t>
            </w:r>
          </w:p>
        </w:tc>
        <w:tc>
          <w:tcPr>
            <w:tcW w:w="8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5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66"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Merge w:val="continue"/>
            <w:vAlign w:val="center"/>
          </w:tcPr>
          <w:p>
            <w:pPr>
              <w:spacing w:line="300" w:lineRule="exact"/>
              <w:jc w:val="center"/>
              <w:rPr>
                <w:rFonts w:ascii="方正书宋_GBK" w:eastAsia="方正书宋_GBK"/>
                <w:b/>
              </w:rPr>
            </w:pPr>
          </w:p>
        </w:tc>
        <w:tc>
          <w:tcPr>
            <w:tcW w:w="1104" w:type="dxa"/>
            <w:vMerge w:val="continue"/>
            <w:vAlign w:val="center"/>
          </w:tcPr>
          <w:p>
            <w:pPr>
              <w:spacing w:line="300" w:lineRule="exact"/>
              <w:jc w:val="center"/>
              <w:rPr>
                <w:rFonts w:ascii="方正书宋_GBK" w:eastAsia="方正书宋_GBK"/>
              </w:rPr>
            </w:pPr>
          </w:p>
        </w:tc>
        <w:tc>
          <w:tcPr>
            <w:tcW w:w="1776" w:type="dxa"/>
            <w:vMerge w:val="continue"/>
            <w:vAlign w:val="center"/>
          </w:tcPr>
          <w:p>
            <w:pPr>
              <w:spacing w:line="300" w:lineRule="exact"/>
              <w:jc w:val="center"/>
              <w:rPr>
                <w:rFonts w:ascii="方正书宋_GBK" w:eastAsia="方正书宋_GBK"/>
              </w:rPr>
            </w:pPr>
          </w:p>
        </w:tc>
        <w:tc>
          <w:tcPr>
            <w:tcW w:w="1898" w:type="dxa"/>
            <w:vMerge w:val="continue"/>
            <w:vAlign w:val="center"/>
          </w:tcPr>
          <w:p>
            <w:pPr>
              <w:spacing w:line="300" w:lineRule="exact"/>
              <w:jc w:val="center"/>
              <w:rPr>
                <w:rFonts w:ascii="方正书宋_GBK" w:eastAsia="方正书宋_GBK"/>
              </w:rPr>
            </w:pPr>
          </w:p>
        </w:tc>
        <w:tc>
          <w:tcPr>
            <w:tcW w:w="997" w:type="dxa"/>
            <w:vAlign w:val="center"/>
          </w:tcPr>
          <w:p>
            <w:pPr>
              <w:spacing w:line="300" w:lineRule="exact"/>
              <w:jc w:val="center"/>
              <w:rPr>
                <w:rFonts w:ascii="方正书宋_GBK" w:eastAsia="方正书宋_GBK"/>
              </w:rPr>
            </w:pPr>
            <w:r>
              <w:rPr>
                <w:rFonts w:hint="eastAsia" w:ascii="方正书宋_GBK" w:eastAsia="方正书宋_GBK"/>
              </w:rPr>
              <w:t>计划生育基层群众自治村（居）覆盖率</w:t>
            </w:r>
          </w:p>
        </w:tc>
        <w:tc>
          <w:tcPr>
            <w:tcW w:w="8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5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66"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35" w:hRule="atLeast"/>
          <w:jc w:val="center"/>
        </w:trPr>
        <w:tc>
          <w:tcPr>
            <w:tcW w:w="891" w:type="dxa"/>
            <w:vAlign w:val="center"/>
          </w:tcPr>
          <w:p>
            <w:pPr>
              <w:spacing w:line="300" w:lineRule="exact"/>
              <w:jc w:val="left"/>
              <w:rPr>
                <w:rFonts w:ascii="方正书宋_GBK" w:eastAsia="方正书宋_GBK"/>
                <w:b/>
              </w:rPr>
            </w:pPr>
            <w:r>
              <w:rPr>
                <w:rFonts w:hint="eastAsia" w:ascii="方正书宋_GBK" w:eastAsia="方正书宋_GBK"/>
                <w:b/>
              </w:rPr>
              <w:t>政府事务</w:t>
            </w:r>
          </w:p>
        </w:tc>
        <w:tc>
          <w:tcPr>
            <w:tcW w:w="1104" w:type="dxa"/>
            <w:vAlign w:val="center"/>
          </w:tcPr>
          <w:p>
            <w:pPr>
              <w:spacing w:line="300" w:lineRule="exact"/>
              <w:jc w:val="center"/>
              <w:rPr>
                <w:rFonts w:ascii="方正书宋_GBK" w:eastAsia="方正书宋_GBK"/>
              </w:rPr>
            </w:pPr>
            <w:r>
              <w:rPr>
                <w:rFonts w:hint="eastAsia" w:ascii="方正书宋_GBK" w:eastAsia="方正书宋_GBK"/>
              </w:rPr>
              <w:t>13.68</w:t>
            </w:r>
          </w:p>
        </w:tc>
        <w:tc>
          <w:tcPr>
            <w:tcW w:w="1776" w:type="dxa"/>
            <w:vAlign w:val="center"/>
          </w:tcPr>
          <w:p>
            <w:pPr>
              <w:spacing w:line="300" w:lineRule="exact"/>
              <w:jc w:val="center"/>
              <w:rPr>
                <w:rFonts w:ascii="方正书宋_GBK" w:eastAsia="方正书宋_GBK"/>
              </w:rPr>
            </w:pPr>
            <w:r>
              <w:rPr>
                <w:rFonts w:hint="eastAsia" w:ascii="方正书宋_GBK" w:eastAsia="方正书宋_GBK"/>
              </w:rPr>
              <w:t>按照有关要求，做好机关办公服务工作。</w:t>
            </w:r>
          </w:p>
        </w:tc>
        <w:tc>
          <w:tcPr>
            <w:tcW w:w="1898" w:type="dxa"/>
            <w:vAlign w:val="center"/>
          </w:tcPr>
          <w:p>
            <w:pPr>
              <w:spacing w:line="300" w:lineRule="exact"/>
              <w:jc w:val="center"/>
              <w:rPr>
                <w:rFonts w:ascii="方正书宋_GBK" w:eastAsia="方正书宋_GBK"/>
              </w:rPr>
            </w:pPr>
            <w:r>
              <w:rPr>
                <w:rFonts w:hint="eastAsia" w:ascii="方正书宋_GBK" w:eastAsia="方正书宋_GBK"/>
              </w:rPr>
              <w:t>以服务领导和机关保障有力为目标，降低运行成本，为创建节约型机关打下了良好的基础。提升了服务管理水平，及时了解国内外形势、党和国家的方针政策以及镇委、镇政府办公室的重要部署和要求，及时为政府工作提供优质高效服务。</w:t>
            </w:r>
          </w:p>
        </w:tc>
        <w:tc>
          <w:tcPr>
            <w:tcW w:w="997" w:type="dxa"/>
            <w:vAlign w:val="center"/>
          </w:tcPr>
          <w:p>
            <w:pPr>
              <w:spacing w:line="300" w:lineRule="exact"/>
              <w:jc w:val="center"/>
              <w:rPr>
                <w:rFonts w:ascii="方正书宋_GBK" w:eastAsia="方正书宋_GBK"/>
              </w:rPr>
            </w:pPr>
          </w:p>
        </w:tc>
        <w:tc>
          <w:tcPr>
            <w:tcW w:w="830" w:type="dxa"/>
            <w:vAlign w:val="center"/>
          </w:tcPr>
          <w:p>
            <w:pPr>
              <w:spacing w:line="300" w:lineRule="exact"/>
              <w:jc w:val="center"/>
              <w:rPr>
                <w:rFonts w:ascii="方正书宋_GBK" w:eastAsia="方正书宋_GBK"/>
              </w:rPr>
            </w:pPr>
          </w:p>
        </w:tc>
        <w:tc>
          <w:tcPr>
            <w:tcW w:w="750" w:type="dxa"/>
            <w:vAlign w:val="center"/>
          </w:tcPr>
          <w:p>
            <w:pPr>
              <w:spacing w:line="300" w:lineRule="exact"/>
              <w:jc w:val="center"/>
              <w:rPr>
                <w:rFonts w:ascii="方正书宋_GBK" w:eastAsia="方正书宋_GBK"/>
              </w:rPr>
            </w:pPr>
          </w:p>
        </w:tc>
        <w:tc>
          <w:tcPr>
            <w:tcW w:w="720" w:type="dxa"/>
            <w:vAlign w:val="center"/>
          </w:tcPr>
          <w:p>
            <w:pPr>
              <w:spacing w:line="300" w:lineRule="exact"/>
              <w:jc w:val="center"/>
              <w:rPr>
                <w:rFonts w:ascii="方正书宋_GBK" w:eastAsia="方正书宋_GBK"/>
              </w:rPr>
            </w:pPr>
          </w:p>
        </w:tc>
        <w:tc>
          <w:tcPr>
            <w:tcW w:w="766"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Align w:val="center"/>
          </w:tcPr>
          <w:p>
            <w:pPr>
              <w:spacing w:line="300" w:lineRule="exact"/>
              <w:jc w:val="center"/>
              <w:rPr>
                <w:rFonts w:ascii="方正书宋_GBK" w:eastAsia="方正书宋_GBK"/>
                <w:b/>
              </w:rPr>
            </w:pPr>
            <w:r>
              <w:rPr>
                <w:rFonts w:hint="eastAsia" w:ascii="方正书宋_GBK" w:eastAsia="方正书宋_GBK"/>
                <w:b/>
              </w:rPr>
              <w:t>政府工作</w:t>
            </w:r>
          </w:p>
        </w:tc>
        <w:tc>
          <w:tcPr>
            <w:tcW w:w="1104" w:type="dxa"/>
            <w:vAlign w:val="center"/>
          </w:tcPr>
          <w:p>
            <w:pPr>
              <w:spacing w:line="300" w:lineRule="exact"/>
              <w:jc w:val="center"/>
              <w:rPr>
                <w:rFonts w:ascii="方正书宋_GBK" w:eastAsia="方正书宋_GBK"/>
              </w:rPr>
            </w:pPr>
            <w:r>
              <w:rPr>
                <w:rFonts w:hint="eastAsia" w:ascii="方正书宋_GBK" w:eastAsia="方正书宋_GBK"/>
              </w:rPr>
              <w:t>13.68</w:t>
            </w:r>
          </w:p>
        </w:tc>
        <w:tc>
          <w:tcPr>
            <w:tcW w:w="1776" w:type="dxa"/>
            <w:vAlign w:val="center"/>
          </w:tcPr>
          <w:p>
            <w:pPr>
              <w:spacing w:line="300" w:lineRule="exact"/>
              <w:jc w:val="center"/>
              <w:rPr>
                <w:rFonts w:ascii="方正书宋_GBK" w:eastAsia="方正书宋_GBK"/>
              </w:rPr>
            </w:pPr>
            <w:r>
              <w:rPr>
                <w:rFonts w:hint="eastAsia" w:ascii="方正书宋_GBK" w:eastAsia="方正书宋_GBK"/>
              </w:rPr>
              <w:t>宣传、落实好党的路线、方针、政策和国家的法律、法规，稳定农村基本经济制度，坚持依法行政，推进政务公开，加强对村民委员会的指导，提高、培育村民委员会自治能力。</w:t>
            </w:r>
          </w:p>
        </w:tc>
        <w:tc>
          <w:tcPr>
            <w:tcW w:w="1898" w:type="dxa"/>
            <w:vAlign w:val="center"/>
          </w:tcPr>
          <w:p>
            <w:pPr>
              <w:spacing w:line="300" w:lineRule="exact"/>
              <w:jc w:val="center"/>
              <w:rPr>
                <w:rFonts w:ascii="方正书宋_GBK" w:eastAsia="方正书宋_GBK"/>
              </w:rPr>
            </w:pPr>
            <w:r>
              <w:rPr>
                <w:rFonts w:hint="eastAsia" w:ascii="方正书宋_GBK" w:eastAsia="方正书宋_GBK"/>
              </w:rPr>
              <w:t>确保政府工作高效完成。</w:t>
            </w:r>
          </w:p>
        </w:tc>
        <w:tc>
          <w:tcPr>
            <w:tcW w:w="997" w:type="dxa"/>
            <w:vAlign w:val="center"/>
          </w:tcPr>
          <w:p>
            <w:pPr>
              <w:spacing w:line="300" w:lineRule="exact"/>
              <w:jc w:val="center"/>
              <w:rPr>
                <w:rFonts w:ascii="方正书宋_GBK" w:eastAsia="方正书宋_GBK"/>
              </w:rPr>
            </w:pPr>
            <w:r>
              <w:rPr>
                <w:rFonts w:hint="eastAsia" w:ascii="方正书宋_GBK" w:eastAsia="方正书宋_GBK"/>
              </w:rPr>
              <w:t>综合业务工作完成率</w:t>
            </w:r>
          </w:p>
        </w:tc>
        <w:tc>
          <w:tcPr>
            <w:tcW w:w="830" w:type="dxa"/>
            <w:vAlign w:val="center"/>
          </w:tcPr>
          <w:p>
            <w:pPr>
              <w:spacing w:line="300" w:lineRule="exact"/>
              <w:jc w:val="center"/>
              <w:rPr>
                <w:rFonts w:ascii="方正书宋_GBK" w:eastAsia="方正书宋_GBK"/>
              </w:rPr>
            </w:pPr>
            <w:r>
              <w:rPr>
                <w:rFonts w:ascii="方正书宋_GBK" w:eastAsia="方正书宋_GBK"/>
              </w:rPr>
              <w:t>90%</w:t>
            </w:r>
          </w:p>
        </w:tc>
        <w:tc>
          <w:tcPr>
            <w:tcW w:w="750" w:type="dxa"/>
            <w:vAlign w:val="center"/>
          </w:tcPr>
          <w:p>
            <w:pPr>
              <w:spacing w:line="300" w:lineRule="exact"/>
              <w:jc w:val="center"/>
              <w:rPr>
                <w:rFonts w:ascii="方正书宋_GBK" w:eastAsia="方正书宋_GBK"/>
              </w:rPr>
            </w:pPr>
            <w:r>
              <w:rPr>
                <w:rFonts w:ascii="方正书宋_GBK" w:eastAsia="方正书宋_GBK"/>
              </w:rPr>
              <w:t>80%</w:t>
            </w:r>
          </w:p>
        </w:tc>
        <w:tc>
          <w:tcPr>
            <w:tcW w:w="720" w:type="dxa"/>
            <w:vAlign w:val="center"/>
          </w:tcPr>
          <w:p>
            <w:pPr>
              <w:spacing w:line="300" w:lineRule="exact"/>
              <w:jc w:val="center"/>
              <w:rPr>
                <w:rFonts w:ascii="方正书宋_GBK" w:eastAsia="方正书宋_GBK"/>
              </w:rPr>
            </w:pPr>
            <w:r>
              <w:rPr>
                <w:rFonts w:ascii="方正书宋_GBK" w:eastAsia="方正书宋_GBK"/>
              </w:rPr>
              <w:t>70%</w:t>
            </w:r>
          </w:p>
        </w:tc>
        <w:tc>
          <w:tcPr>
            <w:tcW w:w="766"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Align w:val="center"/>
          </w:tcPr>
          <w:p>
            <w:pPr>
              <w:spacing w:line="300" w:lineRule="exact"/>
              <w:rPr>
                <w:rFonts w:ascii="方正书宋_GBK" w:eastAsia="方正书宋_GBK"/>
                <w:b/>
              </w:rPr>
            </w:pPr>
            <w:r>
              <w:rPr>
                <w:rFonts w:hint="eastAsia" w:ascii="方正书宋_GBK" w:eastAsia="方正书宋_GBK"/>
                <w:b/>
              </w:rPr>
              <w:t>人大事务</w:t>
            </w:r>
          </w:p>
        </w:tc>
        <w:tc>
          <w:tcPr>
            <w:tcW w:w="1104" w:type="dxa"/>
            <w:vAlign w:val="center"/>
          </w:tcPr>
          <w:p>
            <w:pPr>
              <w:spacing w:line="300" w:lineRule="exact"/>
              <w:jc w:val="center"/>
              <w:rPr>
                <w:rFonts w:ascii="方正书宋_GBK" w:eastAsia="方正书宋_GBK"/>
              </w:rPr>
            </w:pPr>
          </w:p>
        </w:tc>
        <w:tc>
          <w:tcPr>
            <w:tcW w:w="1776" w:type="dxa"/>
            <w:vAlign w:val="center"/>
          </w:tcPr>
          <w:p>
            <w:pPr>
              <w:spacing w:line="300" w:lineRule="exact"/>
              <w:jc w:val="center"/>
              <w:rPr>
                <w:rFonts w:ascii="方正书宋_GBK" w:eastAsia="方正书宋_GBK"/>
              </w:rPr>
            </w:pPr>
            <w:r>
              <w:rPr>
                <w:rFonts w:hint="eastAsia" w:ascii="方正书宋_GBK" w:eastAsia="方正书宋_GBK"/>
              </w:rPr>
              <w:t>人大监督、人大会议、选举和任免及日常综合工作</w:t>
            </w:r>
          </w:p>
        </w:tc>
        <w:tc>
          <w:tcPr>
            <w:tcW w:w="1898" w:type="dxa"/>
            <w:vAlign w:val="center"/>
          </w:tcPr>
          <w:p>
            <w:pPr>
              <w:spacing w:line="300" w:lineRule="exact"/>
              <w:jc w:val="center"/>
              <w:rPr>
                <w:rFonts w:ascii="方正书宋_GBK" w:eastAsia="方正书宋_GBK"/>
              </w:rPr>
            </w:pPr>
            <w:r>
              <w:rPr>
                <w:rFonts w:hint="eastAsia" w:ascii="方正书宋_GBK" w:eastAsia="方正书宋_GBK"/>
              </w:rPr>
              <w:t>执法检查；会议筹备；换届选举及人事任免服务工作</w:t>
            </w:r>
          </w:p>
        </w:tc>
        <w:tc>
          <w:tcPr>
            <w:tcW w:w="997" w:type="dxa"/>
            <w:vAlign w:val="center"/>
          </w:tcPr>
          <w:p>
            <w:pPr>
              <w:spacing w:line="300" w:lineRule="exact"/>
              <w:jc w:val="center"/>
              <w:rPr>
                <w:rFonts w:ascii="方正书宋_GBK" w:eastAsia="方正书宋_GBK"/>
              </w:rPr>
            </w:pPr>
          </w:p>
        </w:tc>
        <w:tc>
          <w:tcPr>
            <w:tcW w:w="830" w:type="dxa"/>
            <w:vAlign w:val="center"/>
          </w:tcPr>
          <w:p>
            <w:pPr>
              <w:spacing w:line="300" w:lineRule="exact"/>
              <w:jc w:val="center"/>
              <w:rPr>
                <w:rFonts w:ascii="方正书宋_GBK" w:eastAsia="方正书宋_GBK"/>
              </w:rPr>
            </w:pPr>
          </w:p>
        </w:tc>
        <w:tc>
          <w:tcPr>
            <w:tcW w:w="750" w:type="dxa"/>
            <w:vAlign w:val="center"/>
          </w:tcPr>
          <w:p>
            <w:pPr>
              <w:spacing w:line="300" w:lineRule="exact"/>
              <w:jc w:val="center"/>
              <w:rPr>
                <w:rFonts w:ascii="方正书宋_GBK" w:eastAsia="方正书宋_GBK"/>
              </w:rPr>
            </w:pPr>
          </w:p>
        </w:tc>
        <w:tc>
          <w:tcPr>
            <w:tcW w:w="720" w:type="dxa"/>
            <w:vAlign w:val="center"/>
          </w:tcPr>
          <w:p>
            <w:pPr>
              <w:spacing w:line="300" w:lineRule="exact"/>
              <w:jc w:val="center"/>
              <w:rPr>
                <w:rFonts w:ascii="方正书宋_GBK" w:eastAsia="方正书宋_GBK"/>
              </w:rPr>
            </w:pPr>
          </w:p>
        </w:tc>
        <w:tc>
          <w:tcPr>
            <w:tcW w:w="766"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Align w:val="center"/>
          </w:tcPr>
          <w:p>
            <w:pPr>
              <w:spacing w:line="300" w:lineRule="exact"/>
              <w:jc w:val="center"/>
              <w:rPr>
                <w:rFonts w:ascii="方正书宋_GBK" w:eastAsia="方正书宋_GBK"/>
                <w:b/>
              </w:rPr>
            </w:pPr>
            <w:r>
              <w:rPr>
                <w:rFonts w:hint="eastAsia" w:ascii="方正书宋_GBK" w:eastAsia="方正书宋_GBK"/>
                <w:b/>
              </w:rPr>
              <w:t>综合事务管理</w:t>
            </w:r>
          </w:p>
        </w:tc>
        <w:tc>
          <w:tcPr>
            <w:tcW w:w="1104" w:type="dxa"/>
            <w:vAlign w:val="center"/>
          </w:tcPr>
          <w:p>
            <w:pPr>
              <w:spacing w:line="300" w:lineRule="exact"/>
              <w:jc w:val="center"/>
              <w:rPr>
                <w:rFonts w:ascii="方正书宋_GBK" w:eastAsia="方正书宋_GBK"/>
              </w:rPr>
            </w:pPr>
          </w:p>
        </w:tc>
        <w:tc>
          <w:tcPr>
            <w:tcW w:w="1776" w:type="dxa"/>
            <w:vAlign w:val="center"/>
          </w:tcPr>
          <w:p>
            <w:pPr>
              <w:spacing w:line="300" w:lineRule="exact"/>
              <w:jc w:val="center"/>
              <w:rPr>
                <w:rFonts w:ascii="方正书宋_GBK" w:eastAsia="方正书宋_GBK"/>
              </w:rPr>
            </w:pPr>
            <w:r>
              <w:rPr>
                <w:rFonts w:hint="eastAsia" w:ascii="方正书宋_GBK" w:eastAsia="方正书宋_GBK"/>
              </w:rPr>
              <w:t>人大监督、人大会议、选举和任免及日常综合工作</w:t>
            </w:r>
          </w:p>
        </w:tc>
        <w:tc>
          <w:tcPr>
            <w:tcW w:w="1898" w:type="dxa"/>
            <w:vAlign w:val="center"/>
          </w:tcPr>
          <w:p>
            <w:pPr>
              <w:spacing w:line="300" w:lineRule="exact"/>
              <w:jc w:val="center"/>
              <w:rPr>
                <w:rFonts w:ascii="方正书宋_GBK" w:eastAsia="方正书宋_GBK"/>
              </w:rPr>
            </w:pPr>
            <w:r>
              <w:rPr>
                <w:rFonts w:hint="eastAsia" w:ascii="方正书宋_GBK" w:eastAsia="方正书宋_GBK"/>
              </w:rPr>
              <w:t>确保机关工作有效运转</w:t>
            </w:r>
          </w:p>
        </w:tc>
        <w:tc>
          <w:tcPr>
            <w:tcW w:w="997" w:type="dxa"/>
            <w:vAlign w:val="center"/>
          </w:tcPr>
          <w:p>
            <w:pPr>
              <w:spacing w:line="300" w:lineRule="exact"/>
              <w:jc w:val="center"/>
              <w:rPr>
                <w:rFonts w:ascii="方正书宋_GBK" w:eastAsia="方正书宋_GBK"/>
              </w:rPr>
            </w:pPr>
            <w:r>
              <w:rPr>
                <w:rFonts w:hint="eastAsia" w:ascii="方正书宋_GBK" w:eastAsia="方正书宋_GBK"/>
              </w:rPr>
              <w:t>综合事务保障率</w:t>
            </w:r>
          </w:p>
        </w:tc>
        <w:tc>
          <w:tcPr>
            <w:tcW w:w="830" w:type="dxa"/>
            <w:vAlign w:val="center"/>
          </w:tcPr>
          <w:p>
            <w:pPr>
              <w:spacing w:line="300" w:lineRule="exact"/>
              <w:jc w:val="center"/>
              <w:rPr>
                <w:rFonts w:ascii="方正书宋_GBK" w:eastAsia="方正书宋_GBK"/>
              </w:rPr>
            </w:pPr>
            <w:r>
              <w:rPr>
                <w:rFonts w:ascii="方正书宋_GBK" w:eastAsia="方正书宋_GBK"/>
              </w:rPr>
              <w:t>90%</w:t>
            </w:r>
          </w:p>
        </w:tc>
        <w:tc>
          <w:tcPr>
            <w:tcW w:w="750" w:type="dxa"/>
            <w:vAlign w:val="center"/>
          </w:tcPr>
          <w:p>
            <w:pPr>
              <w:spacing w:line="300" w:lineRule="exact"/>
              <w:jc w:val="center"/>
              <w:rPr>
                <w:rFonts w:ascii="方正书宋_GBK" w:eastAsia="方正书宋_GBK"/>
              </w:rPr>
            </w:pPr>
            <w:r>
              <w:rPr>
                <w:rFonts w:ascii="方正书宋_GBK" w:eastAsia="方正书宋_GBK"/>
              </w:rPr>
              <w:t>80%</w:t>
            </w:r>
          </w:p>
        </w:tc>
        <w:tc>
          <w:tcPr>
            <w:tcW w:w="720" w:type="dxa"/>
            <w:vAlign w:val="center"/>
          </w:tcPr>
          <w:p>
            <w:pPr>
              <w:spacing w:line="300" w:lineRule="exact"/>
              <w:jc w:val="center"/>
              <w:rPr>
                <w:rFonts w:ascii="方正书宋_GBK" w:eastAsia="方正书宋_GBK"/>
              </w:rPr>
            </w:pPr>
            <w:r>
              <w:rPr>
                <w:rFonts w:ascii="方正书宋_GBK" w:eastAsia="方正书宋_GBK"/>
              </w:rPr>
              <w:t>70%</w:t>
            </w:r>
          </w:p>
        </w:tc>
        <w:tc>
          <w:tcPr>
            <w:tcW w:w="766"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Align w:val="center"/>
          </w:tcPr>
          <w:p>
            <w:pPr>
              <w:spacing w:line="300" w:lineRule="exact"/>
              <w:rPr>
                <w:rFonts w:ascii="方正书宋_GBK" w:eastAsia="方正书宋_GBK"/>
                <w:b/>
              </w:rPr>
            </w:pPr>
            <w:r>
              <w:rPr>
                <w:rFonts w:hint="eastAsia" w:ascii="方正书宋_GBK" w:eastAsia="方正书宋_GBK"/>
                <w:b/>
              </w:rPr>
              <w:t>林业生态建设</w:t>
            </w:r>
          </w:p>
        </w:tc>
        <w:tc>
          <w:tcPr>
            <w:tcW w:w="1104" w:type="dxa"/>
            <w:vAlign w:val="center"/>
          </w:tcPr>
          <w:p>
            <w:pPr>
              <w:spacing w:line="300" w:lineRule="exact"/>
              <w:jc w:val="center"/>
              <w:rPr>
                <w:rFonts w:ascii="方正书宋_GBK" w:eastAsia="方正书宋_GBK"/>
              </w:rPr>
            </w:pPr>
          </w:p>
        </w:tc>
        <w:tc>
          <w:tcPr>
            <w:tcW w:w="1776" w:type="dxa"/>
            <w:vAlign w:val="center"/>
          </w:tcPr>
          <w:p>
            <w:pPr>
              <w:spacing w:line="300" w:lineRule="exact"/>
              <w:jc w:val="center"/>
              <w:rPr>
                <w:rFonts w:ascii="方正书宋_GBK" w:eastAsia="方正书宋_GBK"/>
              </w:rPr>
            </w:pPr>
            <w:r>
              <w:rPr>
                <w:rFonts w:hint="eastAsia" w:ascii="方正书宋_GBK" w:eastAsia="方正书宋_GBK"/>
              </w:rPr>
              <w:t>组织全镇造林绿化、退耕还林、防沙治沙、防治水土流失、应对气候变化等工作，组织沙尘暴灾害预测预报和应急处置。加强森林资源保护管理</w:t>
            </w:r>
          </w:p>
        </w:tc>
        <w:tc>
          <w:tcPr>
            <w:tcW w:w="1898" w:type="dxa"/>
            <w:vAlign w:val="center"/>
          </w:tcPr>
          <w:p>
            <w:pPr>
              <w:spacing w:line="300" w:lineRule="exact"/>
              <w:jc w:val="center"/>
              <w:rPr>
                <w:rFonts w:ascii="方正书宋_GBK" w:eastAsia="方正书宋_GBK"/>
              </w:rPr>
            </w:pPr>
            <w:r>
              <w:rPr>
                <w:rFonts w:hint="eastAsia" w:ascii="方正书宋_GBK" w:eastAsia="方正书宋_GBK"/>
              </w:rPr>
              <w:t>完成省市县下达和镇政府制定的造林任务及全镇森林覆盖率考核目标。有效改善生态环境。</w:t>
            </w:r>
          </w:p>
        </w:tc>
        <w:tc>
          <w:tcPr>
            <w:tcW w:w="997" w:type="dxa"/>
            <w:vAlign w:val="center"/>
          </w:tcPr>
          <w:p>
            <w:pPr>
              <w:spacing w:line="300" w:lineRule="exact"/>
              <w:jc w:val="center"/>
              <w:rPr>
                <w:rFonts w:ascii="方正书宋_GBK" w:eastAsia="方正书宋_GBK"/>
              </w:rPr>
            </w:pPr>
          </w:p>
        </w:tc>
        <w:tc>
          <w:tcPr>
            <w:tcW w:w="830" w:type="dxa"/>
            <w:vAlign w:val="center"/>
          </w:tcPr>
          <w:p>
            <w:pPr>
              <w:spacing w:line="300" w:lineRule="exact"/>
              <w:jc w:val="center"/>
              <w:rPr>
                <w:rFonts w:ascii="方正书宋_GBK" w:eastAsia="方正书宋_GBK"/>
              </w:rPr>
            </w:pPr>
          </w:p>
        </w:tc>
        <w:tc>
          <w:tcPr>
            <w:tcW w:w="750" w:type="dxa"/>
            <w:vAlign w:val="center"/>
          </w:tcPr>
          <w:p>
            <w:pPr>
              <w:spacing w:line="300" w:lineRule="exact"/>
              <w:jc w:val="center"/>
              <w:rPr>
                <w:rFonts w:ascii="方正书宋_GBK" w:eastAsia="方正书宋_GBK"/>
              </w:rPr>
            </w:pPr>
          </w:p>
        </w:tc>
        <w:tc>
          <w:tcPr>
            <w:tcW w:w="720" w:type="dxa"/>
            <w:vAlign w:val="center"/>
          </w:tcPr>
          <w:p>
            <w:pPr>
              <w:spacing w:line="300" w:lineRule="exact"/>
              <w:jc w:val="center"/>
              <w:rPr>
                <w:rFonts w:ascii="方正书宋_GBK" w:eastAsia="方正书宋_GBK"/>
              </w:rPr>
            </w:pPr>
          </w:p>
        </w:tc>
        <w:tc>
          <w:tcPr>
            <w:tcW w:w="766"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Merge w:val="restart"/>
            <w:vAlign w:val="center"/>
          </w:tcPr>
          <w:p>
            <w:pPr>
              <w:spacing w:line="300" w:lineRule="exact"/>
              <w:jc w:val="center"/>
              <w:rPr>
                <w:rFonts w:ascii="方正书宋_GBK" w:eastAsia="方正书宋_GBK"/>
                <w:b/>
              </w:rPr>
            </w:pPr>
            <w:r>
              <w:rPr>
                <w:rFonts w:hint="eastAsia" w:ascii="方正书宋_GBK" w:eastAsia="方正书宋_GBK"/>
                <w:b/>
              </w:rPr>
              <w:t>造林绿化</w:t>
            </w:r>
          </w:p>
        </w:tc>
        <w:tc>
          <w:tcPr>
            <w:tcW w:w="1104" w:type="dxa"/>
            <w:vMerge w:val="restart"/>
            <w:vAlign w:val="center"/>
          </w:tcPr>
          <w:p>
            <w:pPr>
              <w:spacing w:line="300" w:lineRule="exact"/>
              <w:jc w:val="center"/>
              <w:rPr>
                <w:rFonts w:ascii="方正书宋_GBK" w:eastAsia="方正书宋_GBK"/>
              </w:rPr>
            </w:pPr>
          </w:p>
        </w:tc>
        <w:tc>
          <w:tcPr>
            <w:tcW w:w="1776" w:type="dxa"/>
            <w:vMerge w:val="restart"/>
            <w:vAlign w:val="center"/>
          </w:tcPr>
          <w:p>
            <w:pPr>
              <w:spacing w:line="300" w:lineRule="exact"/>
              <w:jc w:val="center"/>
              <w:rPr>
                <w:rFonts w:ascii="方正书宋_GBK" w:eastAsia="方正书宋_GBK"/>
              </w:rPr>
            </w:pPr>
            <w:r>
              <w:rPr>
                <w:rFonts w:hint="eastAsia" w:ascii="方正书宋_GBK" w:eastAsia="方正书宋_GBK"/>
              </w:rPr>
              <w:t>组织、指导全镇开展造林绿化工作，指导义务植树和社会造林。</w:t>
            </w:r>
          </w:p>
        </w:tc>
        <w:tc>
          <w:tcPr>
            <w:tcW w:w="1898" w:type="dxa"/>
            <w:vMerge w:val="restart"/>
            <w:vAlign w:val="center"/>
          </w:tcPr>
          <w:p>
            <w:pPr>
              <w:spacing w:line="300" w:lineRule="exact"/>
              <w:jc w:val="center"/>
              <w:rPr>
                <w:rFonts w:ascii="方正书宋_GBK" w:eastAsia="方正书宋_GBK"/>
              </w:rPr>
            </w:pPr>
            <w:r>
              <w:rPr>
                <w:rFonts w:hint="eastAsia" w:ascii="方正书宋_GBK" w:eastAsia="方正书宋_GBK"/>
              </w:rPr>
              <w:t>增加有林地面积，提高全镇绿化水平和森林覆盖率，改善生态环境。</w:t>
            </w:r>
          </w:p>
        </w:tc>
        <w:tc>
          <w:tcPr>
            <w:tcW w:w="997" w:type="dxa"/>
            <w:vAlign w:val="center"/>
          </w:tcPr>
          <w:p>
            <w:pPr>
              <w:spacing w:line="300" w:lineRule="exact"/>
              <w:jc w:val="center"/>
              <w:rPr>
                <w:rFonts w:ascii="方正书宋_GBK" w:eastAsia="方正书宋_GBK"/>
              </w:rPr>
            </w:pPr>
            <w:r>
              <w:rPr>
                <w:rFonts w:hint="eastAsia" w:ascii="方正书宋_GBK" w:eastAsia="方正书宋_GBK"/>
              </w:rPr>
              <w:t>森林覆盖面积增长率</w:t>
            </w:r>
          </w:p>
        </w:tc>
        <w:tc>
          <w:tcPr>
            <w:tcW w:w="8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0.8</w:t>
            </w:r>
          </w:p>
        </w:tc>
        <w:tc>
          <w:tcPr>
            <w:tcW w:w="75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0.6</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0.5</w:t>
            </w:r>
          </w:p>
        </w:tc>
        <w:tc>
          <w:tcPr>
            <w:tcW w:w="766" w:type="dxa"/>
            <w:vAlign w:val="center"/>
          </w:tcPr>
          <w:p>
            <w:pPr>
              <w:spacing w:line="300" w:lineRule="exact"/>
              <w:jc w:val="center"/>
              <w:rPr>
                <w:rFonts w:ascii="方正书宋_GBK" w:eastAsia="方正书宋_GBK"/>
              </w:rPr>
            </w:pPr>
            <w:r>
              <w:rPr>
                <w:rFonts w:ascii="方正书宋_GBK" w:eastAsia="方正书宋_GBK"/>
              </w:rPr>
              <w:t>&lt;0.5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Merge w:val="continue"/>
            <w:vAlign w:val="center"/>
          </w:tcPr>
          <w:p>
            <w:pPr>
              <w:spacing w:line="300" w:lineRule="exact"/>
              <w:jc w:val="center"/>
              <w:rPr>
                <w:rFonts w:ascii="方正书宋_GBK" w:eastAsia="方正书宋_GBK"/>
                <w:b/>
              </w:rPr>
            </w:pPr>
          </w:p>
        </w:tc>
        <w:tc>
          <w:tcPr>
            <w:tcW w:w="1104" w:type="dxa"/>
            <w:vMerge w:val="continue"/>
            <w:vAlign w:val="center"/>
          </w:tcPr>
          <w:p>
            <w:pPr>
              <w:spacing w:line="300" w:lineRule="exact"/>
              <w:jc w:val="center"/>
              <w:rPr>
                <w:rFonts w:ascii="方正书宋_GBK" w:eastAsia="方正书宋_GBK"/>
              </w:rPr>
            </w:pPr>
          </w:p>
        </w:tc>
        <w:tc>
          <w:tcPr>
            <w:tcW w:w="1776" w:type="dxa"/>
            <w:vMerge w:val="continue"/>
            <w:vAlign w:val="center"/>
          </w:tcPr>
          <w:p>
            <w:pPr>
              <w:spacing w:line="300" w:lineRule="exact"/>
              <w:jc w:val="center"/>
              <w:rPr>
                <w:rFonts w:ascii="方正书宋_GBK" w:eastAsia="方正书宋_GBK"/>
              </w:rPr>
            </w:pPr>
          </w:p>
        </w:tc>
        <w:tc>
          <w:tcPr>
            <w:tcW w:w="1898" w:type="dxa"/>
            <w:vMerge w:val="continue"/>
            <w:vAlign w:val="center"/>
          </w:tcPr>
          <w:p>
            <w:pPr>
              <w:spacing w:line="300" w:lineRule="exact"/>
              <w:jc w:val="center"/>
              <w:rPr>
                <w:rFonts w:ascii="方正书宋_GBK" w:eastAsia="方正书宋_GBK"/>
              </w:rPr>
            </w:pPr>
          </w:p>
        </w:tc>
        <w:tc>
          <w:tcPr>
            <w:tcW w:w="997" w:type="dxa"/>
            <w:vAlign w:val="center"/>
          </w:tcPr>
          <w:p>
            <w:pPr>
              <w:spacing w:line="300" w:lineRule="exact"/>
              <w:jc w:val="center"/>
              <w:rPr>
                <w:rFonts w:ascii="方正书宋_GBK" w:eastAsia="方正书宋_GBK"/>
              </w:rPr>
            </w:pPr>
            <w:r>
              <w:rPr>
                <w:rFonts w:hint="eastAsia" w:ascii="方正书宋_GBK" w:eastAsia="方正书宋_GBK"/>
              </w:rPr>
              <w:t>造林绿化面积</w:t>
            </w:r>
          </w:p>
        </w:tc>
        <w:tc>
          <w:tcPr>
            <w:tcW w:w="830" w:type="dxa"/>
            <w:vAlign w:val="center"/>
          </w:tcPr>
          <w:p>
            <w:pPr>
              <w:spacing w:line="300" w:lineRule="exact"/>
              <w:jc w:val="center"/>
              <w:rPr>
                <w:rFonts w:ascii="方正书宋_GBK" w:eastAsia="方正书宋_GBK"/>
              </w:rPr>
            </w:pPr>
            <w:r>
              <w:rPr>
                <w:rFonts w:ascii="方正书宋_GBK" w:eastAsia="方正书宋_GBK"/>
              </w:rPr>
              <w:t>100%</w:t>
            </w:r>
          </w:p>
        </w:tc>
        <w:tc>
          <w:tcPr>
            <w:tcW w:w="75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66"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Align w:val="center"/>
          </w:tcPr>
          <w:p>
            <w:pPr>
              <w:spacing w:line="300" w:lineRule="exact"/>
              <w:ind w:firstLine="3362" w:firstLineChars="1600"/>
              <w:jc w:val="center"/>
              <w:rPr>
                <w:rFonts w:ascii="方正书宋_GBK" w:hAnsi="Calibri" w:eastAsia="方正书宋_GBK"/>
                <w:b/>
              </w:rPr>
            </w:pPr>
            <w:r>
              <w:rPr>
                <w:rFonts w:hint="eastAsia" w:ascii="方正书宋_GBK" w:eastAsia="方正书宋_GBK"/>
                <w:b/>
              </w:rPr>
              <w:t>农农业科技支撑和公共服务</w:t>
            </w:r>
          </w:p>
        </w:tc>
        <w:tc>
          <w:tcPr>
            <w:tcW w:w="1104" w:type="dxa"/>
            <w:vAlign w:val="center"/>
          </w:tcPr>
          <w:p>
            <w:pPr>
              <w:spacing w:line="300" w:lineRule="exact"/>
              <w:ind w:firstLine="210" w:firstLineChars="100"/>
              <w:jc w:val="center"/>
              <w:rPr>
                <w:rFonts w:ascii="方正书宋_GBK" w:eastAsia="方正书宋_GBK"/>
              </w:rPr>
            </w:pPr>
            <w:r>
              <w:rPr>
                <w:rFonts w:hint="eastAsia" w:ascii="方正书宋_GBK" w:eastAsia="方正书宋_GBK"/>
              </w:rPr>
              <w:t>5</w:t>
            </w:r>
          </w:p>
        </w:tc>
        <w:tc>
          <w:tcPr>
            <w:tcW w:w="1776" w:type="dxa"/>
            <w:vAlign w:val="center"/>
          </w:tcPr>
          <w:p>
            <w:pPr>
              <w:spacing w:line="300" w:lineRule="exact"/>
              <w:jc w:val="center"/>
              <w:rPr>
                <w:rFonts w:ascii="方正书宋_GBK" w:eastAsia="方正书宋_GBK"/>
              </w:rPr>
            </w:pPr>
            <w:r>
              <w:rPr>
                <w:rFonts w:hint="eastAsia" w:ascii="方正书宋_GBK" w:eastAsia="方正书宋_GBK"/>
              </w:rPr>
              <w:t>提高农业机械化水平，建立健全农业科技服务和防灾减灾体系，推动农业生产向现代农业发展。</w:t>
            </w:r>
          </w:p>
        </w:tc>
        <w:tc>
          <w:tcPr>
            <w:tcW w:w="1898" w:type="dxa"/>
            <w:vAlign w:val="center"/>
          </w:tcPr>
          <w:p>
            <w:pPr>
              <w:spacing w:line="300" w:lineRule="exact"/>
              <w:jc w:val="center"/>
              <w:rPr>
                <w:rFonts w:ascii="方正书宋_GBK" w:eastAsia="方正书宋_GBK"/>
              </w:rPr>
            </w:pPr>
            <w:r>
              <w:rPr>
                <w:rFonts w:hint="eastAsia" w:ascii="方正书宋_GBK" w:eastAsia="方正书宋_GBK"/>
              </w:rPr>
              <w:t>促进农业现代化，提高农业劳动生产率，增加农民收入。</w:t>
            </w:r>
          </w:p>
        </w:tc>
        <w:tc>
          <w:tcPr>
            <w:tcW w:w="997" w:type="dxa"/>
            <w:vAlign w:val="center"/>
          </w:tcPr>
          <w:p>
            <w:pPr>
              <w:spacing w:line="300" w:lineRule="exact"/>
              <w:jc w:val="center"/>
              <w:rPr>
                <w:rFonts w:ascii="方正书宋_GBK" w:eastAsia="方正书宋_GBK"/>
              </w:rPr>
            </w:pPr>
          </w:p>
        </w:tc>
        <w:tc>
          <w:tcPr>
            <w:tcW w:w="830" w:type="dxa"/>
            <w:vAlign w:val="center"/>
          </w:tcPr>
          <w:p>
            <w:pPr>
              <w:spacing w:line="300" w:lineRule="exact"/>
              <w:jc w:val="center"/>
              <w:rPr>
                <w:rFonts w:ascii="方正书宋_GBK" w:eastAsia="方正书宋_GBK"/>
              </w:rPr>
            </w:pPr>
          </w:p>
        </w:tc>
        <w:tc>
          <w:tcPr>
            <w:tcW w:w="750" w:type="dxa"/>
            <w:vAlign w:val="center"/>
          </w:tcPr>
          <w:p>
            <w:pPr>
              <w:spacing w:line="300" w:lineRule="exact"/>
              <w:jc w:val="center"/>
              <w:rPr>
                <w:rFonts w:ascii="方正书宋_GBK" w:eastAsia="方正书宋_GBK"/>
              </w:rPr>
            </w:pPr>
          </w:p>
        </w:tc>
        <w:tc>
          <w:tcPr>
            <w:tcW w:w="720" w:type="dxa"/>
            <w:vAlign w:val="center"/>
          </w:tcPr>
          <w:p>
            <w:pPr>
              <w:spacing w:line="300" w:lineRule="exact"/>
              <w:jc w:val="center"/>
              <w:rPr>
                <w:rFonts w:ascii="方正书宋_GBK" w:eastAsia="方正书宋_GBK"/>
              </w:rPr>
            </w:pPr>
          </w:p>
        </w:tc>
        <w:tc>
          <w:tcPr>
            <w:tcW w:w="766"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Merge w:val="restart"/>
            <w:vAlign w:val="center"/>
          </w:tcPr>
          <w:p>
            <w:pPr>
              <w:spacing w:line="300" w:lineRule="exact"/>
              <w:ind w:firstLine="2311" w:firstLineChars="1100"/>
              <w:jc w:val="center"/>
              <w:rPr>
                <w:rFonts w:ascii="方正书宋_GBK" w:eastAsia="方正书宋_GBK"/>
                <w:b/>
              </w:rPr>
            </w:pPr>
            <w:r>
              <w:rPr>
                <w:rFonts w:hint="eastAsia" w:ascii="方正书宋_GBK" w:eastAsia="方正书宋_GBK"/>
                <w:b/>
              </w:rPr>
              <w:t>实实施农业产业化专项补助</w:t>
            </w:r>
          </w:p>
        </w:tc>
        <w:tc>
          <w:tcPr>
            <w:tcW w:w="1104" w:type="dxa"/>
            <w:vMerge w:val="restart"/>
            <w:vAlign w:val="center"/>
          </w:tcPr>
          <w:p>
            <w:pPr>
              <w:spacing w:line="300" w:lineRule="exact"/>
              <w:ind w:firstLine="1470" w:firstLineChars="700"/>
              <w:jc w:val="center"/>
              <w:rPr>
                <w:rFonts w:ascii="方正书宋_GBK" w:eastAsia="方正书宋_GBK"/>
              </w:rPr>
            </w:pPr>
            <w:r>
              <w:rPr>
                <w:rFonts w:hint="eastAsia" w:ascii="方正书宋_GBK" w:eastAsia="方正书宋_GBK"/>
              </w:rPr>
              <w:t>5  5</w:t>
            </w:r>
          </w:p>
        </w:tc>
        <w:tc>
          <w:tcPr>
            <w:tcW w:w="1776" w:type="dxa"/>
            <w:vMerge w:val="restart"/>
            <w:vAlign w:val="center"/>
          </w:tcPr>
          <w:p>
            <w:pPr>
              <w:spacing w:line="300" w:lineRule="exact"/>
              <w:ind w:firstLine="2730" w:firstLineChars="1300"/>
              <w:jc w:val="center"/>
              <w:rPr>
                <w:rFonts w:ascii="方正书宋_GBK" w:eastAsia="方正书宋_GBK"/>
              </w:rPr>
            </w:pPr>
            <w:r>
              <w:rPr>
                <w:rFonts w:hint="eastAsia" w:ascii="方正书宋_GBK" w:eastAsia="方正书宋_GBK"/>
              </w:rPr>
              <w:t>通过政策资金引导，加快建设农产品加工和大型物流项目。</w:t>
            </w:r>
          </w:p>
        </w:tc>
        <w:tc>
          <w:tcPr>
            <w:tcW w:w="1898" w:type="dxa"/>
            <w:vMerge w:val="restart"/>
            <w:vAlign w:val="center"/>
          </w:tcPr>
          <w:p>
            <w:pPr>
              <w:spacing w:line="300" w:lineRule="exact"/>
              <w:ind w:firstLine="2730" w:firstLineChars="1300"/>
              <w:jc w:val="center"/>
              <w:rPr>
                <w:rFonts w:ascii="方正书宋_GBK" w:eastAsia="方正书宋_GBK"/>
              </w:rPr>
            </w:pPr>
            <w:r>
              <w:rPr>
                <w:rFonts w:hint="eastAsia" w:ascii="方正书宋_GBK" w:eastAsia="方正书宋_GBK"/>
              </w:rPr>
              <w:t>提高农产品加工水，提高农民收入。</w:t>
            </w:r>
          </w:p>
        </w:tc>
        <w:tc>
          <w:tcPr>
            <w:tcW w:w="997" w:type="dxa"/>
            <w:vAlign w:val="center"/>
          </w:tcPr>
          <w:p>
            <w:pPr>
              <w:spacing w:line="300" w:lineRule="exact"/>
              <w:ind w:firstLine="1050" w:firstLineChars="500"/>
              <w:jc w:val="center"/>
              <w:rPr>
                <w:rFonts w:ascii="方正书宋_GBK" w:eastAsia="方正书宋_GBK"/>
              </w:rPr>
            </w:pPr>
            <w:r>
              <w:rPr>
                <w:rFonts w:hint="eastAsia" w:ascii="方正书宋_GBK" w:eastAsia="方正书宋_GBK"/>
              </w:rPr>
              <w:t>镇级以上农业龙头企业带动农户数增幅</w:t>
            </w:r>
          </w:p>
        </w:tc>
        <w:tc>
          <w:tcPr>
            <w:tcW w:w="8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64.5%</w:t>
            </w:r>
          </w:p>
        </w:tc>
        <w:tc>
          <w:tcPr>
            <w:tcW w:w="75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63%</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62.5%</w:t>
            </w:r>
          </w:p>
        </w:tc>
        <w:tc>
          <w:tcPr>
            <w:tcW w:w="766" w:type="dxa"/>
            <w:vAlign w:val="center"/>
          </w:tcPr>
          <w:p>
            <w:pPr>
              <w:spacing w:line="300" w:lineRule="exact"/>
              <w:jc w:val="center"/>
              <w:rPr>
                <w:rFonts w:ascii="方正书宋_GBK" w:eastAsia="方正书宋_GBK"/>
              </w:rPr>
            </w:pPr>
            <w:r>
              <w:rPr>
                <w:rFonts w:ascii="方正书宋_GBK" w:eastAsia="方正书宋_GBK"/>
              </w:rPr>
              <w:t>&lt;62.5%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Merge w:val="continue"/>
            <w:vAlign w:val="center"/>
          </w:tcPr>
          <w:p>
            <w:pPr>
              <w:spacing w:line="300" w:lineRule="exact"/>
              <w:jc w:val="center"/>
              <w:rPr>
                <w:rFonts w:ascii="方正书宋_GBK" w:eastAsia="方正书宋_GBK"/>
                <w:b/>
              </w:rPr>
            </w:pPr>
          </w:p>
        </w:tc>
        <w:tc>
          <w:tcPr>
            <w:tcW w:w="1104" w:type="dxa"/>
            <w:vMerge w:val="continue"/>
            <w:vAlign w:val="center"/>
          </w:tcPr>
          <w:p>
            <w:pPr>
              <w:spacing w:line="300" w:lineRule="exact"/>
              <w:jc w:val="center"/>
              <w:rPr>
                <w:rFonts w:ascii="方正书宋_GBK" w:eastAsia="方正书宋_GBK"/>
              </w:rPr>
            </w:pPr>
          </w:p>
        </w:tc>
        <w:tc>
          <w:tcPr>
            <w:tcW w:w="1776" w:type="dxa"/>
            <w:vMerge w:val="continue"/>
            <w:vAlign w:val="center"/>
          </w:tcPr>
          <w:p>
            <w:pPr>
              <w:spacing w:line="300" w:lineRule="exact"/>
              <w:jc w:val="center"/>
              <w:rPr>
                <w:rFonts w:ascii="方正书宋_GBK" w:eastAsia="方正书宋_GBK"/>
              </w:rPr>
            </w:pPr>
          </w:p>
        </w:tc>
        <w:tc>
          <w:tcPr>
            <w:tcW w:w="1898" w:type="dxa"/>
            <w:vMerge w:val="continue"/>
            <w:vAlign w:val="center"/>
          </w:tcPr>
          <w:p>
            <w:pPr>
              <w:spacing w:line="300" w:lineRule="exact"/>
              <w:jc w:val="center"/>
              <w:rPr>
                <w:rFonts w:ascii="方正书宋_GBK" w:eastAsia="方正书宋_GBK"/>
              </w:rPr>
            </w:pPr>
          </w:p>
        </w:tc>
        <w:tc>
          <w:tcPr>
            <w:tcW w:w="997" w:type="dxa"/>
            <w:vAlign w:val="center"/>
          </w:tcPr>
          <w:p>
            <w:pPr>
              <w:spacing w:line="300" w:lineRule="exact"/>
              <w:jc w:val="center"/>
              <w:rPr>
                <w:rFonts w:ascii="方正书宋_GBK" w:eastAsia="方正书宋_GBK"/>
              </w:rPr>
            </w:pPr>
            <w:r>
              <w:rPr>
                <w:rFonts w:hint="eastAsia" w:ascii="方正书宋_GBK" w:eastAsia="方正书宋_GBK"/>
              </w:rPr>
              <w:t>镇级以上农业龙头企业销售收入增幅</w:t>
            </w:r>
          </w:p>
        </w:tc>
        <w:tc>
          <w:tcPr>
            <w:tcW w:w="8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5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66" w:type="dxa"/>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Merge w:val="continue"/>
            <w:vAlign w:val="center"/>
          </w:tcPr>
          <w:p>
            <w:pPr>
              <w:spacing w:line="300" w:lineRule="exact"/>
              <w:jc w:val="center"/>
              <w:rPr>
                <w:rFonts w:ascii="方正书宋_GBK" w:eastAsia="方正书宋_GBK"/>
                <w:b/>
              </w:rPr>
            </w:pPr>
          </w:p>
        </w:tc>
        <w:tc>
          <w:tcPr>
            <w:tcW w:w="1104" w:type="dxa"/>
            <w:vMerge w:val="continue"/>
            <w:vAlign w:val="center"/>
          </w:tcPr>
          <w:p>
            <w:pPr>
              <w:spacing w:line="300" w:lineRule="exact"/>
              <w:jc w:val="center"/>
              <w:rPr>
                <w:rFonts w:ascii="方正书宋_GBK" w:eastAsia="方正书宋_GBK"/>
              </w:rPr>
            </w:pPr>
          </w:p>
        </w:tc>
        <w:tc>
          <w:tcPr>
            <w:tcW w:w="1776" w:type="dxa"/>
            <w:vMerge w:val="continue"/>
            <w:vAlign w:val="center"/>
          </w:tcPr>
          <w:p>
            <w:pPr>
              <w:spacing w:line="300" w:lineRule="exact"/>
              <w:jc w:val="center"/>
              <w:rPr>
                <w:rFonts w:ascii="方正书宋_GBK" w:eastAsia="方正书宋_GBK"/>
              </w:rPr>
            </w:pPr>
          </w:p>
        </w:tc>
        <w:tc>
          <w:tcPr>
            <w:tcW w:w="1898" w:type="dxa"/>
            <w:vMerge w:val="continue"/>
            <w:vAlign w:val="center"/>
          </w:tcPr>
          <w:p>
            <w:pPr>
              <w:spacing w:line="300" w:lineRule="exact"/>
              <w:jc w:val="center"/>
              <w:rPr>
                <w:rFonts w:ascii="方正书宋_GBK" w:eastAsia="方正书宋_GBK"/>
              </w:rPr>
            </w:pPr>
          </w:p>
        </w:tc>
        <w:tc>
          <w:tcPr>
            <w:tcW w:w="997" w:type="dxa"/>
            <w:vAlign w:val="center"/>
          </w:tcPr>
          <w:p>
            <w:pPr>
              <w:spacing w:line="300" w:lineRule="exact"/>
              <w:jc w:val="center"/>
              <w:rPr>
                <w:rFonts w:ascii="方正书宋_GBK" w:eastAsia="方正书宋_GBK"/>
              </w:rPr>
            </w:pPr>
            <w:r>
              <w:rPr>
                <w:rFonts w:hint="eastAsia" w:ascii="方正书宋_GBK" w:eastAsia="方正书宋_GBK"/>
              </w:rPr>
              <w:t>农产品加工园区农业生产化补助到位率</w:t>
            </w:r>
          </w:p>
        </w:tc>
        <w:tc>
          <w:tcPr>
            <w:tcW w:w="8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5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66"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Merge w:val="restart"/>
            <w:vAlign w:val="center"/>
          </w:tcPr>
          <w:p>
            <w:pPr>
              <w:spacing w:line="300" w:lineRule="exact"/>
              <w:rPr>
                <w:rFonts w:ascii="方正书宋_GBK" w:eastAsia="方正书宋_GBK"/>
                <w:b/>
              </w:rPr>
            </w:pPr>
            <w:r>
              <w:rPr>
                <w:rFonts w:hint="eastAsia" w:ascii="方正书宋_GBK" w:eastAsia="方正书宋_GBK"/>
                <w:b/>
              </w:rPr>
              <w:t>农作物全程机械化及农机作业补贴</w:t>
            </w:r>
          </w:p>
        </w:tc>
        <w:tc>
          <w:tcPr>
            <w:tcW w:w="1104" w:type="dxa"/>
            <w:vMerge w:val="restart"/>
            <w:vAlign w:val="center"/>
          </w:tcPr>
          <w:p>
            <w:pPr>
              <w:spacing w:line="300" w:lineRule="exact"/>
              <w:jc w:val="center"/>
              <w:rPr>
                <w:rFonts w:ascii="方正书宋_GBK" w:eastAsia="方正书宋_GBK"/>
              </w:rPr>
            </w:pPr>
          </w:p>
        </w:tc>
        <w:tc>
          <w:tcPr>
            <w:tcW w:w="1776" w:type="dxa"/>
            <w:vMerge w:val="restart"/>
            <w:vAlign w:val="center"/>
          </w:tcPr>
          <w:p>
            <w:pPr>
              <w:spacing w:line="300" w:lineRule="exact"/>
              <w:jc w:val="center"/>
              <w:rPr>
                <w:rFonts w:ascii="方正书宋_GBK" w:eastAsia="方正书宋_GBK"/>
              </w:rPr>
            </w:pPr>
            <w:r>
              <w:rPr>
                <w:rFonts w:hint="eastAsia" w:ascii="方正书宋_GBK" w:eastAsia="方正书宋_GBK"/>
              </w:rPr>
              <w:t>开展耕地深松作业，作业深度超过</w:t>
            </w:r>
            <w:r>
              <w:rPr>
                <w:rFonts w:ascii="方正书宋_GBK" w:eastAsia="方正书宋_GBK"/>
              </w:rPr>
              <w:t>25</w:t>
            </w:r>
            <w:r>
              <w:rPr>
                <w:rFonts w:hint="eastAsia" w:ascii="方正书宋_GBK" w:eastAsia="方正书宋_GBK"/>
              </w:rPr>
              <w:t>厘米，深松间隔不大于</w:t>
            </w:r>
            <w:r>
              <w:rPr>
                <w:rFonts w:ascii="方正书宋_GBK" w:eastAsia="方正书宋_GBK"/>
              </w:rPr>
              <w:t>70</w:t>
            </w:r>
            <w:r>
              <w:rPr>
                <w:rFonts w:hint="eastAsia" w:ascii="方正书宋_GBK" w:eastAsia="方正书宋_GBK"/>
              </w:rPr>
              <w:t>厘米，通过实施农机深松作业，有效节约了水资源，提高了肥料利用率。</w:t>
            </w:r>
          </w:p>
        </w:tc>
        <w:tc>
          <w:tcPr>
            <w:tcW w:w="1898" w:type="dxa"/>
            <w:vMerge w:val="restart"/>
            <w:vAlign w:val="center"/>
          </w:tcPr>
          <w:p>
            <w:pPr>
              <w:spacing w:line="300" w:lineRule="exact"/>
              <w:jc w:val="center"/>
              <w:rPr>
                <w:rFonts w:ascii="方正书宋_GBK" w:eastAsia="方正书宋_GBK"/>
              </w:rPr>
            </w:pPr>
            <w:r>
              <w:rPr>
                <w:rFonts w:hint="eastAsia" w:ascii="方正书宋_GBK" w:eastAsia="方正书宋_GBK"/>
              </w:rPr>
              <w:t>提高土壤蓄水保墒和抗旱防涝能力，提高粮食单产水平。</w:t>
            </w:r>
          </w:p>
        </w:tc>
        <w:tc>
          <w:tcPr>
            <w:tcW w:w="997" w:type="dxa"/>
            <w:vAlign w:val="center"/>
          </w:tcPr>
          <w:p>
            <w:pPr>
              <w:spacing w:line="300" w:lineRule="exact"/>
              <w:jc w:val="center"/>
              <w:rPr>
                <w:rFonts w:ascii="方正书宋_GBK" w:eastAsia="方正书宋_GBK"/>
              </w:rPr>
            </w:pPr>
            <w:r>
              <w:rPr>
                <w:rFonts w:hint="eastAsia" w:ascii="方正书宋_GBK" w:eastAsia="方正书宋_GBK"/>
              </w:rPr>
              <w:t>亩单产平均增长率</w:t>
            </w:r>
          </w:p>
        </w:tc>
        <w:tc>
          <w:tcPr>
            <w:tcW w:w="8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5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66" w:type="dxa"/>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Merge w:val="continue"/>
            <w:vAlign w:val="center"/>
          </w:tcPr>
          <w:p>
            <w:pPr>
              <w:spacing w:line="300" w:lineRule="exact"/>
              <w:jc w:val="center"/>
              <w:rPr>
                <w:rFonts w:ascii="方正书宋_GBK" w:eastAsia="方正书宋_GBK"/>
                <w:b/>
              </w:rPr>
            </w:pPr>
          </w:p>
        </w:tc>
        <w:tc>
          <w:tcPr>
            <w:tcW w:w="1104" w:type="dxa"/>
            <w:vMerge w:val="continue"/>
            <w:vAlign w:val="center"/>
          </w:tcPr>
          <w:p>
            <w:pPr>
              <w:spacing w:line="300" w:lineRule="exact"/>
              <w:jc w:val="center"/>
              <w:rPr>
                <w:rFonts w:ascii="方正书宋_GBK" w:eastAsia="方正书宋_GBK"/>
              </w:rPr>
            </w:pPr>
          </w:p>
        </w:tc>
        <w:tc>
          <w:tcPr>
            <w:tcW w:w="1776" w:type="dxa"/>
            <w:vMerge w:val="continue"/>
            <w:vAlign w:val="center"/>
          </w:tcPr>
          <w:p>
            <w:pPr>
              <w:spacing w:line="300" w:lineRule="exact"/>
              <w:jc w:val="center"/>
              <w:rPr>
                <w:rFonts w:ascii="方正书宋_GBK" w:eastAsia="方正书宋_GBK"/>
              </w:rPr>
            </w:pPr>
          </w:p>
        </w:tc>
        <w:tc>
          <w:tcPr>
            <w:tcW w:w="1898" w:type="dxa"/>
            <w:vMerge w:val="continue"/>
            <w:vAlign w:val="center"/>
          </w:tcPr>
          <w:p>
            <w:pPr>
              <w:spacing w:line="300" w:lineRule="exact"/>
              <w:jc w:val="center"/>
              <w:rPr>
                <w:rFonts w:ascii="方正书宋_GBK" w:eastAsia="方正书宋_GBK"/>
              </w:rPr>
            </w:pPr>
          </w:p>
        </w:tc>
        <w:tc>
          <w:tcPr>
            <w:tcW w:w="997" w:type="dxa"/>
            <w:vAlign w:val="center"/>
          </w:tcPr>
          <w:p>
            <w:pPr>
              <w:spacing w:line="300" w:lineRule="exact"/>
              <w:jc w:val="center"/>
              <w:rPr>
                <w:rFonts w:ascii="方正书宋_GBK" w:eastAsia="方正书宋_GBK"/>
              </w:rPr>
            </w:pPr>
            <w:r>
              <w:rPr>
                <w:rFonts w:hint="eastAsia" w:ascii="方正书宋_GBK" w:eastAsia="方正书宋_GBK"/>
              </w:rPr>
              <w:t>深松面积目标完成率</w:t>
            </w:r>
          </w:p>
        </w:tc>
        <w:tc>
          <w:tcPr>
            <w:tcW w:w="83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5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68%</w:t>
            </w:r>
          </w:p>
        </w:tc>
        <w:tc>
          <w:tcPr>
            <w:tcW w:w="720"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66" w:type="dxa"/>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Align w:val="center"/>
          </w:tcPr>
          <w:p>
            <w:pPr>
              <w:spacing w:line="300" w:lineRule="exact"/>
              <w:rPr>
                <w:rFonts w:ascii="方正书宋_GBK" w:eastAsia="方正书宋_GBK"/>
                <w:b/>
              </w:rPr>
            </w:pPr>
            <w:r>
              <w:rPr>
                <w:rFonts w:hint="eastAsia" w:ascii="方正书宋_GBK" w:eastAsia="方正书宋_GBK"/>
                <w:b/>
              </w:rPr>
              <w:t>财务核算管理</w:t>
            </w:r>
          </w:p>
        </w:tc>
        <w:tc>
          <w:tcPr>
            <w:tcW w:w="1104" w:type="dxa"/>
            <w:vAlign w:val="center"/>
          </w:tcPr>
          <w:p>
            <w:pPr>
              <w:spacing w:line="300" w:lineRule="exact"/>
              <w:jc w:val="center"/>
              <w:rPr>
                <w:rFonts w:ascii="方正书宋_GBK" w:eastAsia="方正书宋_GBK"/>
              </w:rPr>
            </w:pPr>
          </w:p>
        </w:tc>
        <w:tc>
          <w:tcPr>
            <w:tcW w:w="1776" w:type="dxa"/>
            <w:vAlign w:val="center"/>
          </w:tcPr>
          <w:p>
            <w:pPr>
              <w:spacing w:line="300" w:lineRule="exact"/>
              <w:jc w:val="center"/>
              <w:rPr>
                <w:rFonts w:ascii="方正书宋_GBK" w:eastAsia="方正书宋_GBK"/>
              </w:rPr>
            </w:pPr>
            <w:r>
              <w:rPr>
                <w:rFonts w:hint="eastAsia" w:ascii="方正书宋_GBK" w:eastAsia="方正书宋_GBK"/>
              </w:rPr>
              <w:t>管理乡镇财务管理</w:t>
            </w:r>
            <w:r>
              <w:rPr>
                <w:rFonts w:ascii="方正书宋_GBK" w:eastAsia="方正书宋_GBK"/>
              </w:rPr>
              <w:t xml:space="preserve"> </w:t>
            </w:r>
            <w:r>
              <w:rPr>
                <w:rFonts w:hint="eastAsia" w:ascii="方正书宋_GBK" w:eastAsia="方正书宋_GBK"/>
              </w:rPr>
              <w:t>，保障乡镇各项工作正常运行。</w:t>
            </w:r>
          </w:p>
        </w:tc>
        <w:tc>
          <w:tcPr>
            <w:tcW w:w="1898" w:type="dxa"/>
            <w:vAlign w:val="center"/>
          </w:tcPr>
          <w:p>
            <w:pPr>
              <w:spacing w:line="300" w:lineRule="exact"/>
              <w:jc w:val="center"/>
              <w:rPr>
                <w:rFonts w:ascii="方正书宋_GBK" w:eastAsia="方正书宋_GBK"/>
              </w:rPr>
            </w:pPr>
            <w:r>
              <w:rPr>
                <w:rFonts w:hint="eastAsia" w:ascii="方正书宋_GBK" w:eastAsia="方正书宋_GBK"/>
              </w:rPr>
              <w:t>认真编制、执行乡镇预算和财政拨款；</w:t>
            </w:r>
          </w:p>
        </w:tc>
        <w:tc>
          <w:tcPr>
            <w:tcW w:w="997" w:type="dxa"/>
            <w:vAlign w:val="center"/>
          </w:tcPr>
          <w:p>
            <w:pPr>
              <w:spacing w:line="300" w:lineRule="exact"/>
              <w:jc w:val="center"/>
              <w:rPr>
                <w:rFonts w:ascii="方正书宋_GBK" w:eastAsia="方正书宋_GBK"/>
              </w:rPr>
            </w:pPr>
          </w:p>
        </w:tc>
        <w:tc>
          <w:tcPr>
            <w:tcW w:w="830" w:type="dxa"/>
            <w:vAlign w:val="center"/>
          </w:tcPr>
          <w:p>
            <w:pPr>
              <w:spacing w:line="300" w:lineRule="exact"/>
              <w:jc w:val="center"/>
              <w:rPr>
                <w:rFonts w:ascii="方正书宋_GBK" w:eastAsia="方正书宋_GBK"/>
              </w:rPr>
            </w:pPr>
          </w:p>
        </w:tc>
        <w:tc>
          <w:tcPr>
            <w:tcW w:w="750" w:type="dxa"/>
            <w:vAlign w:val="center"/>
          </w:tcPr>
          <w:p>
            <w:pPr>
              <w:spacing w:line="300" w:lineRule="exact"/>
              <w:jc w:val="center"/>
              <w:rPr>
                <w:rFonts w:ascii="方正书宋_GBK" w:eastAsia="方正书宋_GBK"/>
              </w:rPr>
            </w:pPr>
          </w:p>
        </w:tc>
        <w:tc>
          <w:tcPr>
            <w:tcW w:w="720" w:type="dxa"/>
            <w:vAlign w:val="center"/>
          </w:tcPr>
          <w:p>
            <w:pPr>
              <w:spacing w:line="300" w:lineRule="exact"/>
              <w:jc w:val="center"/>
              <w:rPr>
                <w:rFonts w:ascii="方正书宋_GBK" w:eastAsia="方正书宋_GBK"/>
              </w:rPr>
            </w:pPr>
          </w:p>
        </w:tc>
        <w:tc>
          <w:tcPr>
            <w:tcW w:w="766"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Align w:val="center"/>
          </w:tcPr>
          <w:p>
            <w:pPr>
              <w:spacing w:line="300" w:lineRule="exact"/>
              <w:jc w:val="center"/>
              <w:rPr>
                <w:rFonts w:ascii="方正书宋_GBK" w:eastAsia="方正书宋_GBK"/>
                <w:b/>
              </w:rPr>
            </w:pPr>
            <w:r>
              <w:rPr>
                <w:rFonts w:hint="eastAsia" w:ascii="方正书宋_GBK" w:eastAsia="方正书宋_GBK"/>
                <w:b/>
              </w:rPr>
              <w:t>财政业务管理</w:t>
            </w:r>
          </w:p>
        </w:tc>
        <w:tc>
          <w:tcPr>
            <w:tcW w:w="1104" w:type="dxa"/>
            <w:vAlign w:val="center"/>
          </w:tcPr>
          <w:p>
            <w:pPr>
              <w:spacing w:line="300" w:lineRule="exact"/>
              <w:jc w:val="center"/>
              <w:rPr>
                <w:rFonts w:ascii="方正书宋_GBK" w:eastAsia="方正书宋_GBK"/>
              </w:rPr>
            </w:pPr>
          </w:p>
        </w:tc>
        <w:tc>
          <w:tcPr>
            <w:tcW w:w="1776" w:type="dxa"/>
            <w:vAlign w:val="center"/>
          </w:tcPr>
          <w:p>
            <w:pPr>
              <w:spacing w:line="300" w:lineRule="exact"/>
              <w:jc w:val="center"/>
              <w:rPr>
                <w:rFonts w:ascii="方正书宋_GBK" w:eastAsia="方正书宋_GBK"/>
              </w:rPr>
            </w:pPr>
            <w:r>
              <w:rPr>
                <w:rFonts w:hint="eastAsia" w:ascii="方正书宋_GBK" w:eastAsia="方正书宋_GBK"/>
              </w:rPr>
              <w:t>规范处理本乡镇账务，并且指导内部相关会计和村级管理员报账制度</w:t>
            </w:r>
          </w:p>
        </w:tc>
        <w:tc>
          <w:tcPr>
            <w:tcW w:w="1898" w:type="dxa"/>
            <w:vAlign w:val="center"/>
          </w:tcPr>
          <w:p>
            <w:pPr>
              <w:spacing w:line="300" w:lineRule="exact"/>
              <w:jc w:val="center"/>
              <w:rPr>
                <w:rFonts w:ascii="方正书宋_GBK" w:eastAsia="方正书宋_GBK"/>
              </w:rPr>
            </w:pPr>
            <w:r>
              <w:rPr>
                <w:rFonts w:hint="eastAsia" w:ascii="方正书宋_GBK" w:eastAsia="方正书宋_GBK"/>
              </w:rPr>
              <w:t>做好乡镇票据管理，和会计档案管理工作</w:t>
            </w:r>
          </w:p>
        </w:tc>
        <w:tc>
          <w:tcPr>
            <w:tcW w:w="997" w:type="dxa"/>
            <w:vAlign w:val="center"/>
          </w:tcPr>
          <w:p>
            <w:pPr>
              <w:spacing w:line="300" w:lineRule="exact"/>
              <w:jc w:val="center"/>
              <w:rPr>
                <w:rFonts w:ascii="方正书宋_GBK" w:eastAsia="方正书宋_GBK"/>
              </w:rPr>
            </w:pPr>
            <w:r>
              <w:rPr>
                <w:rFonts w:hint="eastAsia" w:ascii="方正书宋_GBK" w:eastAsia="方正书宋_GBK"/>
              </w:rPr>
              <w:t>各项任务完成率</w:t>
            </w:r>
          </w:p>
        </w:tc>
        <w:tc>
          <w:tcPr>
            <w:tcW w:w="830" w:type="dxa"/>
            <w:vAlign w:val="center"/>
          </w:tcPr>
          <w:p>
            <w:pPr>
              <w:spacing w:line="300" w:lineRule="exact"/>
              <w:jc w:val="center"/>
              <w:rPr>
                <w:rFonts w:ascii="方正书宋_GBK" w:eastAsia="方正书宋_GBK"/>
              </w:rPr>
            </w:pPr>
            <w:r>
              <w:rPr>
                <w:rFonts w:ascii="方正书宋_GBK" w:eastAsia="方正书宋_GBK"/>
              </w:rPr>
              <w:t>90%</w:t>
            </w:r>
          </w:p>
        </w:tc>
        <w:tc>
          <w:tcPr>
            <w:tcW w:w="750" w:type="dxa"/>
            <w:vAlign w:val="center"/>
          </w:tcPr>
          <w:p>
            <w:pPr>
              <w:spacing w:line="300" w:lineRule="exact"/>
              <w:jc w:val="center"/>
              <w:rPr>
                <w:rFonts w:ascii="方正书宋_GBK" w:eastAsia="方正书宋_GBK"/>
              </w:rPr>
            </w:pPr>
            <w:r>
              <w:rPr>
                <w:rFonts w:ascii="方正书宋_GBK" w:eastAsia="方正书宋_GBK"/>
              </w:rPr>
              <w:t>80%</w:t>
            </w:r>
          </w:p>
        </w:tc>
        <w:tc>
          <w:tcPr>
            <w:tcW w:w="720" w:type="dxa"/>
            <w:vAlign w:val="center"/>
          </w:tcPr>
          <w:p>
            <w:pPr>
              <w:spacing w:line="300" w:lineRule="exact"/>
              <w:jc w:val="center"/>
              <w:rPr>
                <w:rFonts w:ascii="方正书宋_GBK" w:eastAsia="方正书宋_GBK"/>
              </w:rPr>
            </w:pPr>
            <w:r>
              <w:rPr>
                <w:rFonts w:ascii="方正书宋_GBK" w:eastAsia="方正书宋_GBK"/>
              </w:rPr>
              <w:t>70%</w:t>
            </w:r>
          </w:p>
        </w:tc>
        <w:tc>
          <w:tcPr>
            <w:tcW w:w="766"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Align w:val="center"/>
          </w:tcPr>
          <w:p>
            <w:pPr>
              <w:spacing w:line="300" w:lineRule="exact"/>
              <w:rPr>
                <w:rFonts w:ascii="方正书宋_GBK" w:eastAsia="方正书宋_GBK"/>
                <w:b/>
              </w:rPr>
            </w:pPr>
            <w:r>
              <w:rPr>
                <w:rFonts w:hint="eastAsia" w:ascii="方正书宋_GBK" w:eastAsia="方正书宋_GBK"/>
                <w:b/>
              </w:rPr>
              <w:t>城乡建设管理</w:t>
            </w:r>
          </w:p>
        </w:tc>
        <w:tc>
          <w:tcPr>
            <w:tcW w:w="1104" w:type="dxa"/>
            <w:vAlign w:val="center"/>
          </w:tcPr>
          <w:p>
            <w:pPr>
              <w:spacing w:line="300" w:lineRule="exact"/>
              <w:jc w:val="center"/>
              <w:rPr>
                <w:rFonts w:ascii="方正书宋_GBK" w:eastAsia="方正书宋_GBK"/>
              </w:rPr>
            </w:pPr>
            <w:r>
              <w:rPr>
                <w:rFonts w:hint="eastAsia" w:ascii="方正书宋_GBK" w:eastAsia="方正书宋_GBK"/>
              </w:rPr>
              <w:t>100</w:t>
            </w:r>
          </w:p>
        </w:tc>
        <w:tc>
          <w:tcPr>
            <w:tcW w:w="1776" w:type="dxa"/>
            <w:vAlign w:val="center"/>
          </w:tcPr>
          <w:p>
            <w:pPr>
              <w:spacing w:line="300" w:lineRule="exact"/>
              <w:jc w:val="center"/>
              <w:rPr>
                <w:rFonts w:ascii="方正书宋_GBK" w:eastAsia="方正书宋_GBK"/>
              </w:rPr>
            </w:pPr>
            <w:r>
              <w:rPr>
                <w:rFonts w:hint="eastAsia" w:ascii="方正书宋_GBK" w:eastAsia="方正书宋_GBK"/>
              </w:rPr>
              <w:t>指导乡镇公用设施建设、安全和应急管理；拟定村庄和小城镇建设政策并指导实施；指导镇、乡村庄规划的编制和实施；指导农村住房建设、住房安全和危房改造；改善小城镇和村庄人居环境；</w:t>
            </w:r>
          </w:p>
        </w:tc>
        <w:tc>
          <w:tcPr>
            <w:tcW w:w="1898" w:type="dxa"/>
            <w:vAlign w:val="center"/>
          </w:tcPr>
          <w:p>
            <w:pPr>
              <w:spacing w:line="300" w:lineRule="exact"/>
              <w:jc w:val="center"/>
              <w:rPr>
                <w:rFonts w:ascii="方正书宋_GBK" w:eastAsia="方正书宋_GBK"/>
              </w:rPr>
            </w:pPr>
            <w:r>
              <w:rPr>
                <w:rFonts w:hint="eastAsia" w:ascii="方正书宋_GBK" w:eastAsia="方正书宋_GBK"/>
              </w:rPr>
              <w:t>加强管理，提高乡镇承载能力和宜居度。加强村镇建设，改善农村人居环境，实现城乡统筹发展。</w:t>
            </w:r>
          </w:p>
        </w:tc>
        <w:tc>
          <w:tcPr>
            <w:tcW w:w="997" w:type="dxa"/>
            <w:vAlign w:val="center"/>
          </w:tcPr>
          <w:p>
            <w:pPr>
              <w:spacing w:line="300" w:lineRule="exact"/>
              <w:jc w:val="center"/>
              <w:rPr>
                <w:rFonts w:ascii="方正书宋_GBK" w:eastAsia="方正书宋_GBK"/>
              </w:rPr>
            </w:pPr>
          </w:p>
        </w:tc>
        <w:tc>
          <w:tcPr>
            <w:tcW w:w="830" w:type="dxa"/>
            <w:vAlign w:val="center"/>
          </w:tcPr>
          <w:p>
            <w:pPr>
              <w:spacing w:line="300" w:lineRule="exact"/>
              <w:jc w:val="center"/>
              <w:rPr>
                <w:rFonts w:ascii="方正书宋_GBK" w:eastAsia="方正书宋_GBK"/>
              </w:rPr>
            </w:pPr>
          </w:p>
        </w:tc>
        <w:tc>
          <w:tcPr>
            <w:tcW w:w="750" w:type="dxa"/>
            <w:vAlign w:val="center"/>
          </w:tcPr>
          <w:p>
            <w:pPr>
              <w:spacing w:line="300" w:lineRule="exact"/>
              <w:jc w:val="center"/>
              <w:rPr>
                <w:rFonts w:ascii="方正书宋_GBK" w:eastAsia="方正书宋_GBK"/>
              </w:rPr>
            </w:pPr>
          </w:p>
        </w:tc>
        <w:tc>
          <w:tcPr>
            <w:tcW w:w="720" w:type="dxa"/>
            <w:vAlign w:val="center"/>
          </w:tcPr>
          <w:p>
            <w:pPr>
              <w:spacing w:line="300" w:lineRule="exact"/>
              <w:jc w:val="center"/>
              <w:rPr>
                <w:rFonts w:ascii="方正书宋_GBK" w:eastAsia="方正书宋_GBK"/>
              </w:rPr>
            </w:pPr>
          </w:p>
        </w:tc>
        <w:tc>
          <w:tcPr>
            <w:tcW w:w="766"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Merge w:val="restart"/>
            <w:vAlign w:val="center"/>
          </w:tcPr>
          <w:p>
            <w:pPr>
              <w:spacing w:line="300" w:lineRule="exact"/>
              <w:jc w:val="center"/>
              <w:rPr>
                <w:rFonts w:ascii="方正书宋_GBK" w:eastAsia="方正书宋_GBK"/>
                <w:b/>
              </w:rPr>
            </w:pPr>
            <w:r>
              <w:rPr>
                <w:rFonts w:hint="eastAsia" w:ascii="方正书宋_GBK" w:eastAsia="方正书宋_GBK"/>
                <w:b/>
              </w:rPr>
              <w:t>推进城镇化建设</w:t>
            </w:r>
          </w:p>
        </w:tc>
        <w:tc>
          <w:tcPr>
            <w:tcW w:w="1104" w:type="dxa"/>
            <w:vMerge w:val="restart"/>
            <w:vAlign w:val="center"/>
          </w:tcPr>
          <w:p>
            <w:pPr>
              <w:spacing w:line="300" w:lineRule="exact"/>
              <w:jc w:val="center"/>
              <w:rPr>
                <w:rFonts w:ascii="方正书宋_GBK" w:eastAsia="方正书宋_GBK"/>
              </w:rPr>
            </w:pPr>
            <w:r>
              <w:rPr>
                <w:rFonts w:hint="eastAsia" w:ascii="方正书宋_GBK" w:eastAsia="方正书宋_GBK"/>
              </w:rPr>
              <w:t>100</w:t>
            </w:r>
          </w:p>
        </w:tc>
        <w:tc>
          <w:tcPr>
            <w:tcW w:w="1776" w:type="dxa"/>
            <w:vMerge w:val="restart"/>
            <w:vAlign w:val="center"/>
          </w:tcPr>
          <w:p>
            <w:pPr>
              <w:spacing w:line="300" w:lineRule="exact"/>
              <w:jc w:val="center"/>
              <w:rPr>
                <w:rFonts w:ascii="方正书宋_GBK" w:eastAsia="方正书宋_GBK"/>
              </w:rPr>
            </w:pPr>
            <w:r>
              <w:rPr>
                <w:rFonts w:hint="eastAsia" w:ascii="方正书宋_GBK" w:eastAsia="方正书宋_GBK"/>
              </w:rPr>
              <w:t>指导推进乡镇建设与改造，推进小城镇和集镇人居环境改善做好镇村规划、环境质量、居住水平、产业聚集、风貌特色、综合管理、城建投融资等指导工作，协调和指导推进城镇化工作。</w:t>
            </w:r>
          </w:p>
        </w:tc>
        <w:tc>
          <w:tcPr>
            <w:tcW w:w="1898" w:type="dxa"/>
            <w:vMerge w:val="restart"/>
            <w:vAlign w:val="center"/>
          </w:tcPr>
          <w:p>
            <w:pPr>
              <w:spacing w:line="300" w:lineRule="exact"/>
              <w:jc w:val="center"/>
              <w:rPr>
                <w:rFonts w:ascii="方正书宋_GBK" w:eastAsia="方正书宋_GBK"/>
              </w:rPr>
            </w:pPr>
            <w:r>
              <w:rPr>
                <w:rFonts w:hint="eastAsia" w:ascii="方正书宋_GBK" w:eastAsia="方正书宋_GBK"/>
              </w:rPr>
              <w:t>制定镇、村两级规划，加强村镇及村街基础设施建设，保证农村及企业用电需求，改善农村人居环境，实现城乡统筹发展</w:t>
            </w:r>
          </w:p>
        </w:tc>
        <w:tc>
          <w:tcPr>
            <w:tcW w:w="997" w:type="dxa"/>
            <w:vAlign w:val="center"/>
          </w:tcPr>
          <w:p>
            <w:pPr>
              <w:spacing w:line="300" w:lineRule="exact"/>
              <w:jc w:val="center"/>
              <w:rPr>
                <w:rFonts w:ascii="方正书宋_GBK" w:eastAsia="方正书宋_GBK"/>
              </w:rPr>
            </w:pPr>
            <w:r>
              <w:rPr>
                <w:rFonts w:hint="eastAsia" w:ascii="方正书宋_GBK" w:eastAsia="方正书宋_GBK"/>
              </w:rPr>
              <w:t>垃圾处理率</w:t>
            </w:r>
          </w:p>
        </w:tc>
        <w:tc>
          <w:tcPr>
            <w:tcW w:w="830" w:type="dxa"/>
            <w:vAlign w:val="center"/>
          </w:tcPr>
          <w:p>
            <w:pPr>
              <w:spacing w:line="300" w:lineRule="exact"/>
              <w:jc w:val="center"/>
              <w:rPr>
                <w:rFonts w:ascii="方正书宋_GBK" w:eastAsia="方正书宋_GBK"/>
              </w:rPr>
            </w:pPr>
            <w:r>
              <w:rPr>
                <w:rFonts w:ascii="方正书宋_GBK" w:eastAsia="方正书宋_GBK"/>
              </w:rPr>
              <w:t>100%</w:t>
            </w:r>
          </w:p>
        </w:tc>
        <w:tc>
          <w:tcPr>
            <w:tcW w:w="750" w:type="dxa"/>
            <w:vAlign w:val="center"/>
          </w:tcPr>
          <w:p>
            <w:pPr>
              <w:spacing w:line="300" w:lineRule="exact"/>
              <w:jc w:val="center"/>
              <w:rPr>
                <w:rFonts w:ascii="方正书宋_GBK" w:eastAsia="方正书宋_GBK"/>
              </w:rPr>
            </w:pPr>
            <w:r>
              <w:rPr>
                <w:rFonts w:ascii="方正书宋_GBK" w:eastAsia="方正书宋_GBK"/>
              </w:rPr>
              <w:t>90%</w:t>
            </w:r>
          </w:p>
        </w:tc>
        <w:tc>
          <w:tcPr>
            <w:tcW w:w="720" w:type="dxa"/>
            <w:vAlign w:val="center"/>
          </w:tcPr>
          <w:p>
            <w:pPr>
              <w:spacing w:line="300" w:lineRule="exact"/>
              <w:jc w:val="center"/>
              <w:rPr>
                <w:rFonts w:ascii="方正书宋_GBK" w:eastAsia="方正书宋_GBK"/>
              </w:rPr>
            </w:pPr>
            <w:r>
              <w:rPr>
                <w:rFonts w:ascii="方正书宋_GBK" w:eastAsia="方正书宋_GBK"/>
              </w:rPr>
              <w:t>70%</w:t>
            </w:r>
          </w:p>
        </w:tc>
        <w:tc>
          <w:tcPr>
            <w:tcW w:w="766" w:type="dxa"/>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Merge w:val="continue"/>
            <w:vAlign w:val="center"/>
          </w:tcPr>
          <w:p>
            <w:pPr>
              <w:spacing w:line="300" w:lineRule="exact"/>
              <w:jc w:val="center"/>
              <w:rPr>
                <w:rFonts w:ascii="方正书宋_GBK" w:eastAsia="方正书宋_GBK"/>
                <w:b/>
              </w:rPr>
            </w:pPr>
          </w:p>
        </w:tc>
        <w:tc>
          <w:tcPr>
            <w:tcW w:w="1104" w:type="dxa"/>
            <w:vMerge w:val="continue"/>
            <w:vAlign w:val="center"/>
          </w:tcPr>
          <w:p>
            <w:pPr>
              <w:spacing w:line="300" w:lineRule="exact"/>
              <w:jc w:val="center"/>
              <w:rPr>
                <w:rFonts w:ascii="方正书宋_GBK" w:eastAsia="方正书宋_GBK"/>
              </w:rPr>
            </w:pPr>
          </w:p>
        </w:tc>
        <w:tc>
          <w:tcPr>
            <w:tcW w:w="1776" w:type="dxa"/>
            <w:vMerge w:val="continue"/>
            <w:vAlign w:val="center"/>
          </w:tcPr>
          <w:p>
            <w:pPr>
              <w:spacing w:line="300" w:lineRule="exact"/>
              <w:jc w:val="center"/>
              <w:rPr>
                <w:rFonts w:ascii="方正书宋_GBK" w:eastAsia="方正书宋_GBK"/>
              </w:rPr>
            </w:pPr>
          </w:p>
        </w:tc>
        <w:tc>
          <w:tcPr>
            <w:tcW w:w="1898" w:type="dxa"/>
            <w:vMerge w:val="continue"/>
            <w:vAlign w:val="center"/>
          </w:tcPr>
          <w:p>
            <w:pPr>
              <w:spacing w:line="300" w:lineRule="exact"/>
              <w:jc w:val="center"/>
              <w:rPr>
                <w:rFonts w:ascii="方正书宋_GBK" w:eastAsia="方正书宋_GBK"/>
              </w:rPr>
            </w:pPr>
          </w:p>
        </w:tc>
        <w:tc>
          <w:tcPr>
            <w:tcW w:w="997" w:type="dxa"/>
            <w:vAlign w:val="center"/>
          </w:tcPr>
          <w:p>
            <w:pPr>
              <w:spacing w:line="300" w:lineRule="exact"/>
              <w:jc w:val="center"/>
              <w:rPr>
                <w:rFonts w:ascii="方正书宋_GBK" w:eastAsia="方正书宋_GBK"/>
              </w:rPr>
            </w:pPr>
            <w:r>
              <w:rPr>
                <w:rFonts w:hint="eastAsia" w:ascii="方正书宋_GBK" w:eastAsia="方正书宋_GBK"/>
              </w:rPr>
              <w:t>镇级规划及基础设施建设完成情况，垃圾处理率，乡镇建设工作考核完成率。</w:t>
            </w:r>
          </w:p>
        </w:tc>
        <w:tc>
          <w:tcPr>
            <w:tcW w:w="830" w:type="dxa"/>
            <w:vAlign w:val="center"/>
          </w:tcPr>
          <w:p>
            <w:pPr>
              <w:spacing w:line="300" w:lineRule="exact"/>
              <w:jc w:val="center"/>
              <w:rPr>
                <w:rFonts w:ascii="方正书宋_GBK" w:eastAsia="方正书宋_GBK"/>
              </w:rPr>
            </w:pPr>
            <w:r>
              <w:rPr>
                <w:rFonts w:ascii="方正书宋_GBK" w:eastAsia="方正书宋_GBK"/>
              </w:rPr>
              <w:t>100%</w:t>
            </w:r>
          </w:p>
        </w:tc>
        <w:tc>
          <w:tcPr>
            <w:tcW w:w="750" w:type="dxa"/>
            <w:vAlign w:val="center"/>
          </w:tcPr>
          <w:p>
            <w:pPr>
              <w:spacing w:line="300" w:lineRule="exact"/>
              <w:jc w:val="center"/>
              <w:rPr>
                <w:rFonts w:ascii="方正书宋_GBK" w:eastAsia="方正书宋_GBK"/>
              </w:rPr>
            </w:pPr>
            <w:r>
              <w:rPr>
                <w:rFonts w:ascii="方正书宋_GBK" w:eastAsia="方正书宋_GBK"/>
              </w:rPr>
              <w:t>90%</w:t>
            </w:r>
          </w:p>
        </w:tc>
        <w:tc>
          <w:tcPr>
            <w:tcW w:w="720" w:type="dxa"/>
            <w:vAlign w:val="center"/>
          </w:tcPr>
          <w:p>
            <w:pPr>
              <w:spacing w:line="300" w:lineRule="exact"/>
              <w:jc w:val="center"/>
              <w:rPr>
                <w:rFonts w:ascii="方正书宋_GBK" w:eastAsia="方正书宋_GBK"/>
              </w:rPr>
            </w:pPr>
            <w:r>
              <w:rPr>
                <w:rFonts w:ascii="方正书宋_GBK" w:eastAsia="方正书宋_GBK"/>
              </w:rPr>
              <w:t>70%</w:t>
            </w:r>
          </w:p>
        </w:tc>
        <w:tc>
          <w:tcPr>
            <w:tcW w:w="766" w:type="dxa"/>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925" w:hRule="atLeast"/>
          <w:jc w:val="center"/>
        </w:trPr>
        <w:tc>
          <w:tcPr>
            <w:tcW w:w="891" w:type="dxa"/>
            <w:vAlign w:val="center"/>
          </w:tcPr>
          <w:p>
            <w:pPr>
              <w:spacing w:line="300" w:lineRule="exact"/>
              <w:rPr>
                <w:rFonts w:ascii="方正书宋_GBK" w:eastAsia="方正书宋_GBK"/>
                <w:b/>
              </w:rPr>
            </w:pPr>
            <w:r>
              <w:rPr>
                <w:rFonts w:hint="eastAsia" w:ascii="方正书宋_GBK" w:eastAsia="方正书宋_GBK"/>
                <w:b/>
              </w:rPr>
              <w:t>党委事务</w:t>
            </w:r>
          </w:p>
        </w:tc>
        <w:tc>
          <w:tcPr>
            <w:tcW w:w="1104" w:type="dxa"/>
            <w:vAlign w:val="center"/>
          </w:tcPr>
          <w:p>
            <w:pPr>
              <w:spacing w:line="300" w:lineRule="exact"/>
              <w:jc w:val="center"/>
              <w:rPr>
                <w:rFonts w:ascii="方正书宋_GBK" w:eastAsia="方正书宋_GBK"/>
              </w:rPr>
            </w:pPr>
          </w:p>
        </w:tc>
        <w:tc>
          <w:tcPr>
            <w:tcW w:w="1776" w:type="dxa"/>
            <w:vAlign w:val="center"/>
          </w:tcPr>
          <w:p>
            <w:pPr>
              <w:spacing w:line="300" w:lineRule="exact"/>
              <w:jc w:val="center"/>
              <w:rPr>
                <w:rFonts w:ascii="方正书宋_GBK" w:eastAsia="方正书宋_GBK"/>
              </w:rPr>
            </w:pPr>
            <w:r>
              <w:rPr>
                <w:rFonts w:hint="eastAsia" w:ascii="方正书宋_GBK" w:eastAsia="方正书宋_GBK"/>
              </w:rPr>
              <w:t>负责贯彻执行党的路线、方针、政策和上级党委及本级党代会（党员大会）的决议。领导镇政权机关和群团组织，支持和保证这些机关、组织依照国家法律法规及各自章程充分行使职权。</w:t>
            </w:r>
          </w:p>
        </w:tc>
        <w:tc>
          <w:tcPr>
            <w:tcW w:w="1898" w:type="dxa"/>
            <w:vAlign w:val="center"/>
          </w:tcPr>
          <w:p>
            <w:pPr>
              <w:spacing w:line="300" w:lineRule="exact"/>
              <w:jc w:val="center"/>
              <w:rPr>
                <w:rFonts w:ascii="方正书宋_GBK" w:eastAsia="方正书宋_GBK"/>
              </w:rPr>
            </w:pPr>
            <w:r>
              <w:rPr>
                <w:rFonts w:hint="eastAsia" w:ascii="方正书宋_GBK" w:eastAsia="方正书宋_GBK"/>
              </w:rPr>
              <w:t>对本镇全局性的工作进行领导。以经济建设为中心，全面推进改革开放和现代化建设。对社会经济发展战略、总体规划、指导方针及其它重大问题作出决策，认真组织实施，切实保证社会各项事业健康发展，集体经济实力不断增强，农民人均纯收入较大幅度增加，生活水平不断提高。</w:t>
            </w:r>
            <w:r>
              <w:rPr>
                <w:rFonts w:ascii="方正书宋_GBK" w:eastAsia="方正书宋_GBK"/>
              </w:rPr>
              <w:t>2</w:t>
            </w:r>
            <w:r>
              <w:rPr>
                <w:rFonts w:hint="eastAsia" w:ascii="方正书宋_GBK" w:eastAsia="方正书宋_GBK"/>
              </w:rPr>
              <w:t>、对本镇全局性的工作进行领导。以经济建设为中心，全面推进改革开放和现代化建设。对社会经济发展战略、总体规划、指导方针及其它重大问题作出决策，认真组织实施，切实保证社会各项事业健康发展，集体经济实力不断增强，农民人均纯收入较大幅度增加，生活水平不断提高。</w:t>
            </w:r>
          </w:p>
        </w:tc>
        <w:tc>
          <w:tcPr>
            <w:tcW w:w="997" w:type="dxa"/>
            <w:vAlign w:val="center"/>
          </w:tcPr>
          <w:p>
            <w:pPr>
              <w:spacing w:line="300" w:lineRule="exact"/>
              <w:jc w:val="center"/>
              <w:rPr>
                <w:rFonts w:ascii="方正书宋_GBK" w:eastAsia="方正书宋_GBK"/>
              </w:rPr>
            </w:pPr>
          </w:p>
        </w:tc>
        <w:tc>
          <w:tcPr>
            <w:tcW w:w="830" w:type="dxa"/>
            <w:vAlign w:val="center"/>
          </w:tcPr>
          <w:p>
            <w:pPr>
              <w:spacing w:line="300" w:lineRule="exact"/>
              <w:jc w:val="center"/>
              <w:rPr>
                <w:rFonts w:ascii="方正书宋_GBK" w:eastAsia="方正书宋_GBK"/>
              </w:rPr>
            </w:pPr>
          </w:p>
        </w:tc>
        <w:tc>
          <w:tcPr>
            <w:tcW w:w="750" w:type="dxa"/>
            <w:vAlign w:val="center"/>
          </w:tcPr>
          <w:p>
            <w:pPr>
              <w:spacing w:line="300" w:lineRule="exact"/>
              <w:jc w:val="center"/>
              <w:rPr>
                <w:rFonts w:ascii="方正书宋_GBK" w:eastAsia="方正书宋_GBK"/>
              </w:rPr>
            </w:pPr>
          </w:p>
        </w:tc>
        <w:tc>
          <w:tcPr>
            <w:tcW w:w="720" w:type="dxa"/>
            <w:vAlign w:val="center"/>
          </w:tcPr>
          <w:p>
            <w:pPr>
              <w:spacing w:line="300" w:lineRule="exact"/>
              <w:jc w:val="center"/>
              <w:rPr>
                <w:rFonts w:ascii="方正书宋_GBK" w:eastAsia="方正书宋_GBK"/>
              </w:rPr>
            </w:pPr>
          </w:p>
        </w:tc>
        <w:tc>
          <w:tcPr>
            <w:tcW w:w="766"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891" w:type="dxa"/>
            <w:vAlign w:val="center"/>
          </w:tcPr>
          <w:p>
            <w:pPr>
              <w:spacing w:line="300" w:lineRule="exact"/>
              <w:jc w:val="center"/>
              <w:rPr>
                <w:rFonts w:ascii="方正书宋_GBK" w:eastAsia="方正书宋_GBK"/>
                <w:b/>
              </w:rPr>
            </w:pPr>
            <w:r>
              <w:rPr>
                <w:rFonts w:hint="eastAsia" w:ascii="方正书宋_GBK" w:eastAsia="方正书宋_GBK"/>
                <w:b/>
              </w:rPr>
              <w:t>党委工作</w:t>
            </w:r>
          </w:p>
        </w:tc>
        <w:tc>
          <w:tcPr>
            <w:tcW w:w="1104" w:type="dxa"/>
            <w:vAlign w:val="center"/>
          </w:tcPr>
          <w:p>
            <w:pPr>
              <w:spacing w:line="300" w:lineRule="exact"/>
              <w:jc w:val="center"/>
              <w:rPr>
                <w:rFonts w:ascii="方正书宋_GBK" w:eastAsia="方正书宋_GBK"/>
              </w:rPr>
            </w:pPr>
          </w:p>
        </w:tc>
        <w:tc>
          <w:tcPr>
            <w:tcW w:w="1776" w:type="dxa"/>
            <w:vAlign w:val="center"/>
          </w:tcPr>
          <w:p>
            <w:pPr>
              <w:spacing w:line="300" w:lineRule="exact"/>
              <w:jc w:val="center"/>
              <w:rPr>
                <w:rFonts w:ascii="方正书宋_GBK" w:eastAsia="方正书宋_GBK"/>
              </w:rPr>
            </w:pPr>
            <w:r>
              <w:rPr>
                <w:rFonts w:hint="eastAsia" w:ascii="方正书宋_GBK" w:eastAsia="方正书宋_GBK"/>
              </w:rPr>
              <w:t>加强党的建设。增强镇党委抓农村基层组织建设的直接责任意识，形成农村基层组织建设常抓不懈的工作机制。通过党组织的战斗堡垒作用和党员的先锋模范作用，增强党在人民群众中的凝聚力和号召力。</w:t>
            </w:r>
          </w:p>
        </w:tc>
        <w:tc>
          <w:tcPr>
            <w:tcW w:w="1898" w:type="dxa"/>
            <w:vAlign w:val="center"/>
          </w:tcPr>
          <w:p>
            <w:pPr>
              <w:spacing w:line="300" w:lineRule="exact"/>
              <w:jc w:val="center"/>
              <w:rPr>
                <w:rFonts w:ascii="方正书宋_GBK" w:eastAsia="方正书宋_GBK"/>
              </w:rPr>
            </w:pPr>
            <w:r>
              <w:rPr>
                <w:rFonts w:hint="eastAsia" w:ascii="方正书宋_GBK" w:eastAsia="方正书宋_GBK"/>
              </w:rPr>
              <w:t>增强镇党委抓农村基层组织建设的直接责任意识，形成农村基层组织建设常抓不懈的工作机制。通过党组织的战斗堡垒作用和党员的先锋模范作用，增强党在人民群众中的凝聚力和号召力。</w:t>
            </w:r>
          </w:p>
        </w:tc>
        <w:tc>
          <w:tcPr>
            <w:tcW w:w="997" w:type="dxa"/>
            <w:vAlign w:val="center"/>
          </w:tcPr>
          <w:p>
            <w:pPr>
              <w:spacing w:line="300" w:lineRule="exact"/>
              <w:jc w:val="center"/>
              <w:rPr>
                <w:rFonts w:ascii="方正书宋_GBK" w:eastAsia="方正书宋_GBK"/>
              </w:rPr>
            </w:pPr>
            <w:r>
              <w:rPr>
                <w:rFonts w:hint="eastAsia" w:ascii="方正书宋_GBK" w:eastAsia="方正书宋_GBK"/>
              </w:rPr>
              <w:t>确保党委事务有效运转</w:t>
            </w:r>
          </w:p>
        </w:tc>
        <w:tc>
          <w:tcPr>
            <w:tcW w:w="830" w:type="dxa"/>
            <w:vAlign w:val="center"/>
          </w:tcPr>
          <w:p>
            <w:pPr>
              <w:spacing w:line="300" w:lineRule="exact"/>
              <w:jc w:val="center"/>
              <w:rPr>
                <w:rFonts w:ascii="方正书宋_GBK" w:eastAsia="方正书宋_GBK"/>
              </w:rPr>
            </w:pPr>
            <w:r>
              <w:rPr>
                <w:rFonts w:hint="eastAsia" w:ascii="方正书宋_GBK" w:eastAsia="方正书宋_GBK"/>
              </w:rPr>
              <w:t>正常</w:t>
            </w:r>
          </w:p>
        </w:tc>
        <w:tc>
          <w:tcPr>
            <w:tcW w:w="750" w:type="dxa"/>
            <w:vAlign w:val="center"/>
          </w:tcPr>
          <w:p>
            <w:pPr>
              <w:spacing w:line="300" w:lineRule="exact"/>
              <w:jc w:val="center"/>
              <w:rPr>
                <w:rFonts w:ascii="方正书宋_GBK" w:eastAsia="方正书宋_GBK"/>
              </w:rPr>
            </w:pPr>
          </w:p>
        </w:tc>
        <w:tc>
          <w:tcPr>
            <w:tcW w:w="720" w:type="dxa"/>
            <w:vAlign w:val="center"/>
          </w:tcPr>
          <w:p>
            <w:pPr>
              <w:spacing w:line="300" w:lineRule="exact"/>
              <w:jc w:val="center"/>
              <w:rPr>
                <w:rFonts w:ascii="方正书宋_GBK" w:eastAsia="方正书宋_GBK"/>
              </w:rPr>
            </w:pPr>
          </w:p>
        </w:tc>
        <w:tc>
          <w:tcPr>
            <w:tcW w:w="766" w:type="dxa"/>
            <w:vAlign w:val="center"/>
          </w:tcPr>
          <w:p>
            <w:pPr>
              <w:spacing w:line="300" w:lineRule="exact"/>
              <w:jc w:val="center"/>
              <w:rPr>
                <w:rFonts w:ascii="方正书宋_GBK" w:eastAsia="方正书宋_GBK"/>
              </w:rPr>
            </w:pPr>
            <w:r>
              <w:rPr>
                <w:rFonts w:hint="eastAsia" w:ascii="方正书宋_GBK" w:eastAsia="方正书宋_GBK"/>
              </w:rPr>
              <w:t>不正常</w:t>
            </w:r>
          </w:p>
        </w:tc>
      </w:tr>
    </w:tbl>
    <w:p>
      <w:pPr>
        <w:spacing w:line="640" w:lineRule="atLeast"/>
        <w:ind w:firstLine="640" w:firstLineChars="200"/>
        <w:rPr>
          <w:rFonts w:ascii="仿宋_GB2312" w:hAnsi="Tahoma" w:eastAsia="仿宋_GB2312" w:cs="Tahoma"/>
          <w:kern w:val="0"/>
          <w:sz w:val="32"/>
          <w:szCs w:val="32"/>
        </w:rPr>
      </w:pPr>
    </w:p>
    <w:p>
      <w:pPr>
        <w:pStyle w:val="3"/>
        <w:spacing w:before="0" w:after="0" w:line="584" w:lineRule="exact"/>
        <w:ind w:firstLine="640" w:firstLineChars="200"/>
        <w:rPr>
          <w:rFonts w:ascii="Times New Roman" w:hAnsi="Times New Roman" w:eastAsia="黑体"/>
        </w:rPr>
      </w:pPr>
      <w:r>
        <w:rPr>
          <w:rFonts w:ascii="Times New Roman" w:hAnsi="Times New Roman" w:eastAsia="黑体"/>
          <w:b w:val="0"/>
        </w:rPr>
        <w:t>七、其他重要事项的说明</w:t>
      </w:r>
    </w:p>
    <w:p>
      <w:pPr>
        <w:pStyle w:val="4"/>
        <w:spacing w:before="0" w:after="0" w:line="584" w:lineRule="exact"/>
        <w:ind w:firstLine="640" w:firstLineChars="200"/>
        <w:rPr>
          <w:rFonts w:ascii="楷体" w:hAnsi="楷体" w:eastAsia="楷体"/>
          <w:b w:val="0"/>
        </w:rPr>
      </w:pPr>
      <w:r>
        <w:rPr>
          <w:rFonts w:ascii="楷体" w:hAnsi="楷体" w:eastAsia="楷体"/>
          <w:b w:val="0"/>
        </w:rPr>
        <w:t>（一）机关运行经费情况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本部门2017年度机关运行经费支出</w:t>
      </w:r>
      <w:r>
        <w:rPr>
          <w:rFonts w:hint="eastAsia" w:ascii="仿宋" w:hAnsi="仿宋" w:eastAsia="仿宋"/>
          <w:sz w:val="32"/>
          <w:szCs w:val="32"/>
        </w:rPr>
        <w:t>73.67</w:t>
      </w:r>
      <w:r>
        <w:rPr>
          <w:rFonts w:ascii="仿宋" w:hAnsi="仿宋" w:eastAsia="仿宋"/>
          <w:sz w:val="32"/>
          <w:szCs w:val="32"/>
        </w:rPr>
        <w:t>万元，比2016年度减少</w:t>
      </w:r>
      <w:r>
        <w:rPr>
          <w:rFonts w:hint="eastAsia" w:ascii="仿宋" w:hAnsi="仿宋" w:eastAsia="仿宋"/>
          <w:sz w:val="32"/>
          <w:szCs w:val="32"/>
        </w:rPr>
        <w:t>436.23</w:t>
      </w:r>
      <w:r>
        <w:rPr>
          <w:rFonts w:ascii="仿宋" w:hAnsi="仿宋" w:eastAsia="仿宋"/>
          <w:sz w:val="32"/>
          <w:szCs w:val="32"/>
        </w:rPr>
        <w:t>万元，降低</w:t>
      </w:r>
      <w:r>
        <w:rPr>
          <w:rFonts w:hint="eastAsia" w:ascii="仿宋" w:hAnsi="仿宋" w:eastAsia="仿宋"/>
          <w:sz w:val="32"/>
          <w:szCs w:val="32"/>
        </w:rPr>
        <w:t>86</w:t>
      </w:r>
      <w:r>
        <w:rPr>
          <w:rFonts w:ascii="仿宋" w:hAnsi="仿宋" w:eastAsia="仿宋"/>
          <w:sz w:val="32"/>
          <w:szCs w:val="32"/>
        </w:rPr>
        <w:t>%。主要原因是</w:t>
      </w:r>
      <w:r>
        <w:rPr>
          <w:rFonts w:hint="eastAsia" w:ascii="仿宋" w:hAnsi="仿宋" w:eastAsia="仿宋"/>
          <w:sz w:val="32"/>
          <w:szCs w:val="32"/>
        </w:rPr>
        <w:t>按照上级厉行节约精神，严控办公成本</w:t>
      </w:r>
      <w:r>
        <w:rPr>
          <w:rFonts w:ascii="仿宋" w:hAnsi="仿宋" w:eastAsia="仿宋"/>
          <w:sz w:val="32"/>
          <w:szCs w:val="32"/>
        </w:rPr>
        <w:t>。</w:t>
      </w:r>
    </w:p>
    <w:p>
      <w:pPr>
        <w:pStyle w:val="4"/>
        <w:spacing w:before="0" w:after="0" w:line="584" w:lineRule="exact"/>
        <w:ind w:firstLine="640" w:firstLineChars="200"/>
        <w:rPr>
          <w:rFonts w:ascii="楷体" w:hAnsi="楷体" w:eastAsia="楷体"/>
          <w:b w:val="0"/>
        </w:rPr>
      </w:pPr>
      <w:r>
        <w:rPr>
          <w:rFonts w:ascii="楷体" w:hAnsi="楷体" w:eastAsia="楷体"/>
          <w:b w:val="0"/>
        </w:rPr>
        <w:t>（二）政府采购情况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本部门2017年度政府采购支出总额</w:t>
      </w:r>
      <w:r>
        <w:rPr>
          <w:rFonts w:hint="eastAsia" w:ascii="仿宋" w:hAnsi="仿宋" w:eastAsia="仿宋"/>
          <w:sz w:val="32"/>
          <w:szCs w:val="32"/>
        </w:rPr>
        <w:t>0</w:t>
      </w:r>
      <w:r>
        <w:rPr>
          <w:rFonts w:ascii="仿宋" w:hAnsi="仿宋" w:eastAsia="仿宋"/>
          <w:sz w:val="32"/>
          <w:szCs w:val="32"/>
        </w:rPr>
        <w:t>万元，其中：政府采购货物支出</w:t>
      </w:r>
      <w:r>
        <w:rPr>
          <w:rFonts w:hint="eastAsia" w:ascii="仿宋" w:hAnsi="仿宋" w:eastAsia="仿宋"/>
          <w:sz w:val="32"/>
          <w:szCs w:val="32"/>
        </w:rPr>
        <w:t>0</w:t>
      </w:r>
      <w:r>
        <w:rPr>
          <w:rFonts w:ascii="仿宋" w:hAnsi="仿宋" w:eastAsia="仿宋"/>
          <w:sz w:val="32"/>
          <w:szCs w:val="32"/>
        </w:rPr>
        <w:t>万元、政府采购工程支出</w:t>
      </w:r>
      <w:r>
        <w:rPr>
          <w:rFonts w:hint="eastAsia" w:ascii="仿宋" w:hAnsi="仿宋" w:eastAsia="仿宋"/>
          <w:sz w:val="32"/>
          <w:szCs w:val="32"/>
        </w:rPr>
        <w:t>0</w:t>
      </w:r>
      <w:r>
        <w:rPr>
          <w:rFonts w:ascii="仿宋" w:hAnsi="仿宋" w:eastAsia="仿宋"/>
          <w:sz w:val="32"/>
          <w:szCs w:val="32"/>
        </w:rPr>
        <w:t>万元、政府采购服务支出</w:t>
      </w:r>
      <w:r>
        <w:rPr>
          <w:rFonts w:hint="eastAsia" w:ascii="仿宋" w:hAnsi="仿宋" w:eastAsia="仿宋"/>
          <w:sz w:val="32"/>
          <w:szCs w:val="32"/>
        </w:rPr>
        <w:t>0</w:t>
      </w:r>
      <w:r>
        <w:rPr>
          <w:rFonts w:ascii="仿宋" w:hAnsi="仿宋" w:eastAsia="仿宋"/>
          <w:sz w:val="32"/>
          <w:szCs w:val="32"/>
        </w:rPr>
        <w:t>万元。</w:t>
      </w:r>
    </w:p>
    <w:p>
      <w:pPr>
        <w:pStyle w:val="4"/>
        <w:spacing w:before="0" w:after="0" w:line="584" w:lineRule="exact"/>
        <w:ind w:firstLine="640" w:firstLineChars="200"/>
        <w:rPr>
          <w:rFonts w:ascii="楷体" w:hAnsi="楷体" w:eastAsia="楷体"/>
          <w:b w:val="0"/>
        </w:rPr>
      </w:pPr>
      <w:r>
        <w:rPr>
          <w:rFonts w:ascii="楷体" w:hAnsi="楷体" w:eastAsia="楷体"/>
          <w:b w:val="0"/>
        </w:rPr>
        <w:t>（三）国有资产占用情况</w:t>
      </w:r>
    </w:p>
    <w:p>
      <w:pPr>
        <w:autoSpaceDN w:val="0"/>
        <w:ind w:firstLine="640" w:firstLineChars="200"/>
        <w:rPr>
          <w:rFonts w:hint="eastAsia" w:ascii="仿宋" w:hAnsi="仿宋" w:eastAsia="仿宋"/>
          <w:sz w:val="32"/>
        </w:rPr>
      </w:pPr>
      <w:r>
        <w:rPr>
          <w:rFonts w:ascii="仿宋" w:hAnsi="仿宋" w:eastAsia="仿宋"/>
          <w:sz w:val="32"/>
          <w:szCs w:val="32"/>
        </w:rPr>
        <w:t>截至2017年12月31日，本部门共有车辆</w:t>
      </w:r>
      <w:r>
        <w:rPr>
          <w:rFonts w:hint="eastAsia" w:ascii="仿宋" w:hAnsi="仿宋" w:eastAsia="仿宋"/>
          <w:sz w:val="32"/>
          <w:szCs w:val="32"/>
        </w:rPr>
        <w:t>2</w:t>
      </w:r>
      <w:r>
        <w:rPr>
          <w:rFonts w:ascii="仿宋" w:hAnsi="仿宋" w:eastAsia="仿宋"/>
          <w:sz w:val="32"/>
          <w:szCs w:val="32"/>
        </w:rPr>
        <w:t>辆，其中，市级领导干部用车</w:t>
      </w:r>
      <w:r>
        <w:rPr>
          <w:rFonts w:hint="eastAsia" w:ascii="仿宋" w:hAnsi="仿宋" w:eastAsia="仿宋"/>
          <w:sz w:val="32"/>
          <w:szCs w:val="32"/>
        </w:rPr>
        <w:t>0</w:t>
      </w:r>
      <w:r>
        <w:rPr>
          <w:rFonts w:ascii="仿宋" w:hAnsi="仿宋" w:eastAsia="仿宋"/>
          <w:sz w:val="32"/>
          <w:szCs w:val="32"/>
        </w:rPr>
        <w:t>辆、一般公务用车</w:t>
      </w:r>
      <w:r>
        <w:rPr>
          <w:rFonts w:hint="eastAsia" w:ascii="仿宋" w:hAnsi="仿宋" w:eastAsia="仿宋"/>
          <w:sz w:val="32"/>
          <w:szCs w:val="32"/>
        </w:rPr>
        <w:t>2</w:t>
      </w:r>
      <w:r>
        <w:rPr>
          <w:rFonts w:ascii="仿宋" w:hAnsi="仿宋" w:eastAsia="仿宋"/>
          <w:sz w:val="32"/>
          <w:szCs w:val="32"/>
        </w:rPr>
        <w:t>辆、一般执法执勤用车</w:t>
      </w:r>
      <w:r>
        <w:rPr>
          <w:rFonts w:hint="eastAsia" w:ascii="仿宋" w:hAnsi="仿宋" w:eastAsia="仿宋"/>
          <w:sz w:val="32"/>
          <w:szCs w:val="32"/>
        </w:rPr>
        <w:t>0</w:t>
      </w:r>
      <w:r>
        <w:rPr>
          <w:rFonts w:ascii="仿宋" w:hAnsi="仿宋" w:eastAsia="仿宋"/>
          <w:sz w:val="32"/>
          <w:szCs w:val="32"/>
        </w:rPr>
        <w:t>辆、特种专业技术用车</w:t>
      </w:r>
      <w:r>
        <w:rPr>
          <w:rFonts w:hint="eastAsia" w:ascii="仿宋" w:hAnsi="仿宋" w:eastAsia="仿宋"/>
          <w:sz w:val="32"/>
          <w:szCs w:val="32"/>
        </w:rPr>
        <w:t>0</w:t>
      </w:r>
      <w:r>
        <w:rPr>
          <w:rFonts w:ascii="仿宋" w:hAnsi="仿宋" w:eastAsia="仿宋"/>
          <w:sz w:val="32"/>
          <w:szCs w:val="32"/>
        </w:rPr>
        <w:t>辆、其他用车</w:t>
      </w:r>
      <w:r>
        <w:rPr>
          <w:rFonts w:hint="eastAsia" w:ascii="仿宋" w:hAnsi="仿宋" w:eastAsia="仿宋"/>
          <w:sz w:val="32"/>
          <w:szCs w:val="32"/>
        </w:rPr>
        <w:t>0</w:t>
      </w:r>
      <w:r>
        <w:rPr>
          <w:rFonts w:ascii="仿宋" w:hAnsi="仿宋" w:eastAsia="仿宋"/>
          <w:sz w:val="32"/>
          <w:szCs w:val="32"/>
        </w:rPr>
        <w:t>辆；单位价值50万元以上大型设备</w:t>
      </w:r>
      <w:r>
        <w:rPr>
          <w:rFonts w:hint="eastAsia" w:ascii="仿宋" w:hAnsi="仿宋" w:eastAsia="仿宋"/>
          <w:sz w:val="32"/>
          <w:szCs w:val="32"/>
        </w:rPr>
        <w:t>0</w:t>
      </w:r>
      <w:r>
        <w:rPr>
          <w:rFonts w:ascii="仿宋" w:hAnsi="仿宋" w:eastAsia="仿宋"/>
          <w:sz w:val="32"/>
          <w:szCs w:val="32"/>
        </w:rPr>
        <w:t>台（套），单位价值100万元以上大型设备</w:t>
      </w:r>
      <w:r>
        <w:rPr>
          <w:rFonts w:hint="eastAsia" w:ascii="仿宋" w:hAnsi="仿宋" w:eastAsia="仿宋"/>
          <w:sz w:val="32"/>
          <w:szCs w:val="32"/>
        </w:rPr>
        <w:t>0</w:t>
      </w:r>
      <w:r>
        <w:rPr>
          <w:rFonts w:ascii="仿宋" w:hAnsi="仿宋" w:eastAsia="仿宋"/>
          <w:sz w:val="32"/>
          <w:szCs w:val="32"/>
        </w:rPr>
        <w:t>台（套）</w:t>
      </w:r>
      <w:r>
        <w:rPr>
          <w:rFonts w:hint="eastAsia" w:ascii="仿宋" w:hAnsi="仿宋" w:eastAsia="仿宋"/>
          <w:sz w:val="32"/>
          <w:szCs w:val="32"/>
          <w:lang w:eastAsia="zh-CN"/>
        </w:rPr>
        <w:t>。</w:t>
      </w:r>
      <w:r>
        <w:rPr>
          <w:rFonts w:hint="eastAsia" w:ascii="仿宋" w:hAnsi="仿宋" w:eastAsia="仿宋"/>
          <w:sz w:val="32"/>
        </w:rPr>
        <w:t>与上年决算一致。我单位无新增的电脑、打印机等其他办公设施。</w:t>
      </w:r>
    </w:p>
    <w:p>
      <w:pPr>
        <w:autoSpaceDN w:val="0"/>
        <w:ind w:firstLine="643" w:firstLineChars="200"/>
        <w:rPr>
          <w:rFonts w:hint="eastAsia" w:ascii="宋体" w:hAnsi="宋体" w:eastAsia="宋体" w:cs="宋体"/>
          <w:b/>
          <w:bCs/>
          <w:kern w:val="0"/>
          <w:sz w:val="32"/>
          <w:szCs w:val="32"/>
          <w:lang w:eastAsia="zh-CN"/>
        </w:rPr>
      </w:pPr>
    </w:p>
    <w:p>
      <w:pPr>
        <w:autoSpaceDN w:val="0"/>
        <w:ind w:firstLine="643" w:firstLineChars="200"/>
        <w:rPr>
          <w:rFonts w:hint="eastAsia" w:ascii="宋体" w:hAnsi="宋体" w:eastAsia="宋体" w:cs="宋体"/>
          <w:b/>
          <w:bCs/>
          <w:kern w:val="0"/>
          <w:sz w:val="32"/>
          <w:szCs w:val="32"/>
          <w:lang w:eastAsia="zh-CN"/>
        </w:rPr>
      </w:pPr>
    </w:p>
    <w:p>
      <w:pPr>
        <w:autoSpaceDN w:val="0"/>
        <w:ind w:firstLine="643" w:firstLineChars="200"/>
        <w:rPr>
          <w:rFonts w:hint="eastAsia" w:ascii="宋体" w:hAnsi="宋体" w:eastAsia="宋体" w:cs="宋体"/>
          <w:b/>
          <w:bCs/>
          <w:kern w:val="0"/>
          <w:sz w:val="32"/>
          <w:szCs w:val="32"/>
          <w:lang w:eastAsia="zh-CN"/>
        </w:rPr>
      </w:pPr>
    </w:p>
    <w:p>
      <w:pPr>
        <w:autoSpaceDN w:val="0"/>
        <w:ind w:firstLine="643" w:firstLineChars="200"/>
        <w:rPr>
          <w:rFonts w:hint="eastAsia" w:ascii="宋体" w:hAnsi="宋体" w:eastAsia="宋体" w:cs="宋体"/>
          <w:b/>
          <w:bCs/>
          <w:kern w:val="0"/>
          <w:sz w:val="32"/>
          <w:szCs w:val="32"/>
        </w:rPr>
      </w:pPr>
      <w:r>
        <w:rPr>
          <w:rFonts w:hint="eastAsia" w:ascii="宋体" w:hAnsi="宋体" w:eastAsia="宋体" w:cs="宋体"/>
          <w:b/>
          <w:bCs/>
          <w:kern w:val="0"/>
          <w:sz w:val="32"/>
          <w:szCs w:val="32"/>
          <w:lang w:eastAsia="zh-CN"/>
        </w:rPr>
        <w:t>大城县权村镇人民政府</w:t>
      </w:r>
      <w:r>
        <w:rPr>
          <w:rFonts w:hint="eastAsia" w:ascii="宋体" w:hAnsi="宋体" w:eastAsia="宋体" w:cs="宋体"/>
          <w:b/>
          <w:bCs/>
          <w:kern w:val="0"/>
          <w:sz w:val="32"/>
          <w:szCs w:val="32"/>
        </w:rPr>
        <w:t>部门固定资产占用情况表</w:t>
      </w:r>
    </w:p>
    <w:p>
      <w:pPr>
        <w:autoSpaceDN w:val="0"/>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编制部门：大城县权村镇人民政府</w:t>
      </w:r>
      <w:r>
        <w:rPr>
          <w:rFonts w:hint="eastAsia" w:ascii="宋体" w:hAnsi="宋体" w:eastAsia="宋体" w:cs="宋体"/>
          <w:b w:val="0"/>
          <w:bCs w:val="0"/>
          <w:kern w:val="0"/>
          <w:sz w:val="22"/>
          <w:szCs w:val="22"/>
        </w:rPr>
        <w:tab/>
      </w:r>
      <w:r>
        <w:rPr>
          <w:rFonts w:hint="eastAsia" w:ascii="宋体" w:hAnsi="宋体" w:cs="宋体"/>
          <w:b w:val="0"/>
          <w:bCs w:val="0"/>
          <w:kern w:val="0"/>
          <w:sz w:val="22"/>
          <w:szCs w:val="22"/>
          <w:lang w:val="en-US" w:eastAsia="zh-CN"/>
        </w:rPr>
        <w:t xml:space="preserve">                     </w:t>
      </w:r>
      <w:r>
        <w:rPr>
          <w:rFonts w:hint="eastAsia" w:ascii="宋体" w:hAnsi="宋体" w:eastAsia="宋体" w:cs="宋体"/>
          <w:b w:val="0"/>
          <w:bCs w:val="0"/>
          <w:kern w:val="0"/>
          <w:sz w:val="22"/>
          <w:szCs w:val="22"/>
        </w:rPr>
        <w:t>截止时间：201</w:t>
      </w:r>
      <w:r>
        <w:rPr>
          <w:rFonts w:hint="eastAsia" w:ascii="宋体" w:hAnsi="宋体" w:cs="宋体"/>
          <w:b w:val="0"/>
          <w:bCs w:val="0"/>
          <w:kern w:val="0"/>
          <w:sz w:val="22"/>
          <w:szCs w:val="22"/>
          <w:lang w:val="en-US" w:eastAsia="zh-CN"/>
        </w:rPr>
        <w:t>7</w:t>
      </w:r>
      <w:r>
        <w:rPr>
          <w:rFonts w:hint="eastAsia" w:ascii="宋体" w:hAnsi="宋体" w:eastAsia="宋体" w:cs="宋体"/>
          <w:b w:val="0"/>
          <w:bCs w:val="0"/>
          <w:kern w:val="0"/>
          <w:sz w:val="22"/>
          <w:szCs w:val="22"/>
        </w:rPr>
        <w:t xml:space="preserve">年12月31日  </w:t>
      </w:r>
    </w:p>
    <w:tbl>
      <w:tblPr>
        <w:tblStyle w:val="8"/>
        <w:tblW w:w="8580" w:type="dxa"/>
        <w:tblInd w:w="0" w:type="dxa"/>
        <w:tblLayout w:type="fixed"/>
        <w:tblCellMar>
          <w:top w:w="0" w:type="dxa"/>
          <w:left w:w="108" w:type="dxa"/>
          <w:bottom w:w="0" w:type="dxa"/>
          <w:right w:w="108" w:type="dxa"/>
        </w:tblCellMar>
      </w:tblPr>
      <w:tblGrid>
        <w:gridCol w:w="3399"/>
        <w:gridCol w:w="1912"/>
        <w:gridCol w:w="3269"/>
      </w:tblGrid>
      <w:tr>
        <w:tblPrEx>
          <w:tblLayout w:type="fixed"/>
          <w:tblCellMar>
            <w:top w:w="0" w:type="dxa"/>
            <w:left w:w="108" w:type="dxa"/>
            <w:bottom w:w="0" w:type="dxa"/>
            <w:right w:w="108" w:type="dxa"/>
          </w:tblCellMar>
        </w:tblPrEx>
        <w:trPr>
          <w:trHeight w:val="534" w:hRule="atLeast"/>
        </w:trPr>
        <w:tc>
          <w:tcPr>
            <w:tcW w:w="33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19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326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57" w:hRule="atLeast"/>
        </w:trPr>
        <w:tc>
          <w:tcPr>
            <w:tcW w:w="339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191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326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91.38</w:t>
            </w:r>
          </w:p>
        </w:tc>
      </w:tr>
      <w:tr>
        <w:tblPrEx>
          <w:tblLayout w:type="fixed"/>
          <w:tblCellMar>
            <w:top w:w="0" w:type="dxa"/>
            <w:left w:w="108" w:type="dxa"/>
            <w:bottom w:w="0" w:type="dxa"/>
            <w:right w:w="108" w:type="dxa"/>
          </w:tblCellMar>
        </w:tblPrEx>
        <w:trPr>
          <w:trHeight w:val="580" w:hRule="atLeast"/>
        </w:trPr>
        <w:tc>
          <w:tcPr>
            <w:tcW w:w="339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19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2200</w:t>
            </w:r>
          </w:p>
        </w:tc>
        <w:tc>
          <w:tcPr>
            <w:tcW w:w="3269" w:type="dxa"/>
            <w:tcBorders>
              <w:top w:val="nil"/>
              <w:left w:val="nil"/>
              <w:bottom w:val="single" w:color="auto" w:sz="4" w:space="0"/>
              <w:right w:val="single" w:color="auto" w:sz="4" w:space="0"/>
            </w:tcBorders>
            <w:noWrap w:val="0"/>
            <w:vAlign w:val="center"/>
          </w:tcPr>
          <w:p>
            <w:pPr>
              <w:widowControl/>
              <w:tabs>
                <w:tab w:val="left" w:pos="1680"/>
              </w:tabs>
              <w:jc w:val="center"/>
              <w:rPr>
                <w:rFonts w:hint="eastAsia" w:ascii="宋体" w:hAnsi="宋体" w:eastAsia="宋体" w:cs="宋体"/>
                <w:kern w:val="0"/>
                <w:sz w:val="22"/>
                <w:lang w:eastAsia="zh-CN"/>
              </w:rPr>
            </w:pPr>
            <w:r>
              <w:rPr>
                <w:rFonts w:hint="eastAsia" w:ascii="宋体" w:hAnsi="宋体" w:cs="宋体"/>
                <w:kern w:val="0"/>
                <w:sz w:val="22"/>
                <w:lang w:val="en-US" w:eastAsia="zh-CN"/>
              </w:rPr>
              <w:t>66.74</w:t>
            </w:r>
          </w:p>
        </w:tc>
      </w:tr>
      <w:tr>
        <w:tblPrEx>
          <w:tblLayout w:type="fixed"/>
          <w:tblCellMar>
            <w:top w:w="0" w:type="dxa"/>
            <w:left w:w="108" w:type="dxa"/>
            <w:bottom w:w="0" w:type="dxa"/>
            <w:right w:w="108" w:type="dxa"/>
          </w:tblCellMar>
        </w:tblPrEx>
        <w:trPr>
          <w:trHeight w:val="637" w:hRule="atLeast"/>
        </w:trPr>
        <w:tc>
          <w:tcPr>
            <w:tcW w:w="339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19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1800</w:t>
            </w:r>
          </w:p>
        </w:tc>
        <w:tc>
          <w:tcPr>
            <w:tcW w:w="326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51.52</w:t>
            </w:r>
          </w:p>
        </w:tc>
      </w:tr>
      <w:tr>
        <w:tblPrEx>
          <w:tblLayout w:type="fixed"/>
          <w:tblCellMar>
            <w:top w:w="0" w:type="dxa"/>
            <w:left w:w="108" w:type="dxa"/>
            <w:bottom w:w="0" w:type="dxa"/>
            <w:right w:w="108" w:type="dxa"/>
          </w:tblCellMar>
        </w:tblPrEx>
        <w:trPr>
          <w:trHeight w:val="534" w:hRule="atLeast"/>
        </w:trPr>
        <w:tc>
          <w:tcPr>
            <w:tcW w:w="339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19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w:t>
            </w:r>
          </w:p>
        </w:tc>
        <w:tc>
          <w:tcPr>
            <w:tcW w:w="326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22.58</w:t>
            </w:r>
          </w:p>
        </w:tc>
      </w:tr>
      <w:tr>
        <w:tblPrEx>
          <w:tblLayout w:type="fixed"/>
          <w:tblCellMar>
            <w:top w:w="0" w:type="dxa"/>
            <w:left w:w="108" w:type="dxa"/>
            <w:bottom w:w="0" w:type="dxa"/>
            <w:right w:w="108" w:type="dxa"/>
          </w:tblCellMar>
        </w:tblPrEx>
        <w:trPr>
          <w:trHeight w:val="651" w:hRule="atLeast"/>
        </w:trPr>
        <w:tc>
          <w:tcPr>
            <w:tcW w:w="339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w:t>
            </w:r>
            <w:r>
              <w:rPr>
                <w:rFonts w:hint="eastAsia" w:ascii="宋体" w:hAnsi="宋体" w:eastAsia="宋体" w:cs="宋体"/>
                <w:kern w:val="0"/>
                <w:sz w:val="22"/>
                <w:lang w:val="en-US" w:eastAsia="zh-CN"/>
              </w:rPr>
              <w:t>5</w:t>
            </w:r>
            <w:r>
              <w:rPr>
                <w:rFonts w:hint="eastAsia" w:ascii="宋体" w:hAnsi="宋体" w:eastAsia="宋体" w:cs="宋体"/>
                <w:kern w:val="0"/>
                <w:sz w:val="22"/>
              </w:rPr>
              <w:t>0万元以上的设备</w:t>
            </w:r>
          </w:p>
        </w:tc>
        <w:tc>
          <w:tcPr>
            <w:tcW w:w="191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2"/>
              </w:rPr>
            </w:pPr>
          </w:p>
        </w:tc>
        <w:tc>
          <w:tcPr>
            <w:tcW w:w="326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44" w:hRule="atLeast"/>
        </w:trPr>
        <w:tc>
          <w:tcPr>
            <w:tcW w:w="339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191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2"/>
              </w:rPr>
            </w:pPr>
          </w:p>
        </w:tc>
        <w:tc>
          <w:tcPr>
            <w:tcW w:w="326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2.06</w:t>
            </w:r>
          </w:p>
        </w:tc>
      </w:tr>
    </w:tbl>
    <w:p>
      <w:pPr>
        <w:autoSpaceDN w:val="0"/>
        <w:ind w:firstLine="440" w:firstLineChars="200"/>
        <w:rPr>
          <w:rFonts w:hint="eastAsia" w:ascii="宋体" w:hAnsi="宋体" w:eastAsia="宋体" w:cs="宋体"/>
          <w:b w:val="0"/>
          <w:bCs w:val="0"/>
          <w:kern w:val="0"/>
          <w:sz w:val="22"/>
          <w:szCs w:val="22"/>
        </w:rPr>
      </w:pPr>
    </w:p>
    <w:p>
      <w:pPr>
        <w:adjustRightInd w:val="0"/>
        <w:snapToGrid w:val="0"/>
        <w:spacing w:line="584" w:lineRule="exact"/>
        <w:ind w:firstLine="640" w:firstLineChars="200"/>
        <w:rPr>
          <w:rFonts w:ascii="仿宋" w:hAnsi="仿宋" w:eastAsia="仿宋"/>
          <w:sz w:val="32"/>
          <w:szCs w:val="32"/>
        </w:rPr>
      </w:pPr>
    </w:p>
    <w:p>
      <w:pPr>
        <w:pStyle w:val="4"/>
        <w:spacing w:before="0" w:after="0" w:line="584" w:lineRule="exact"/>
        <w:ind w:firstLine="640" w:firstLineChars="200"/>
        <w:rPr>
          <w:rFonts w:ascii="楷体" w:hAnsi="楷体" w:eastAsia="楷体"/>
          <w:b w:val="0"/>
        </w:rPr>
      </w:pPr>
      <w:r>
        <w:rPr>
          <w:rFonts w:ascii="楷体" w:hAnsi="楷体" w:eastAsia="楷体"/>
          <w:b w:val="0"/>
        </w:rPr>
        <w:t>（四）其他需要说明的情况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1、本部门2017年度</w:t>
      </w:r>
      <w:r>
        <w:rPr>
          <w:rFonts w:hint="eastAsia" w:ascii="仿宋" w:hAnsi="仿宋" w:eastAsia="仿宋"/>
          <w:sz w:val="32"/>
          <w:szCs w:val="32"/>
        </w:rPr>
        <w:t>政府性基金预算财政拨款收入支出决算表、国有资本经营预算财政拨款收入支出决算表、政府采购情况表</w:t>
      </w:r>
      <w:r>
        <w:rPr>
          <w:rFonts w:ascii="仿宋" w:hAnsi="仿宋" w:eastAsia="仿宋"/>
          <w:sz w:val="32"/>
          <w:szCs w:val="32"/>
        </w:rPr>
        <w:t>无收支及结转结余情况，故</w:t>
      </w:r>
      <w:r>
        <w:rPr>
          <w:rFonts w:hint="eastAsia" w:ascii="仿宋" w:hAnsi="仿宋" w:eastAsia="仿宋"/>
          <w:sz w:val="32"/>
          <w:szCs w:val="32"/>
        </w:rPr>
        <w:t>政府性基金预算财政拨款收入支出决算表、国有资本经营预算财政拨款收入支出决算表、政府采购情况表</w:t>
      </w:r>
      <w:r>
        <w:rPr>
          <w:rFonts w:ascii="仿宋" w:hAnsi="仿宋" w:eastAsia="仿宋"/>
          <w:sz w:val="32"/>
          <w:szCs w:val="32"/>
        </w:rPr>
        <w:t>以空表列示。</w:t>
      </w:r>
      <w:r>
        <w:rPr>
          <w:rFonts w:hint="eastAsia" w:ascii="仿宋" w:hAnsi="仿宋" w:eastAsia="仿宋"/>
          <w:sz w:val="32"/>
          <w:szCs w:val="32"/>
        </w:rPr>
        <w:t>(本部门未发生政府性基金预算财政拨款收入支出、本部门未发生国有资本经营预算财政拨款收入支出、本部门未安排政府采购。)</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2、由于决算公开表格中金额数值应当保留两位小数，公开数据为四舍五入计算结果，个别数据合计项与分项之和存在小数点后差额，特此说明。</w:t>
      </w:r>
    </w:p>
    <w:p>
      <w:pPr>
        <w:adjustRightInd w:val="0"/>
        <w:snapToGrid w:val="0"/>
        <w:spacing w:line="584" w:lineRule="exact"/>
        <w:rPr>
          <w:rFonts w:eastAsia="仿宋_GB2312"/>
          <w:sz w:val="32"/>
          <w:szCs w:val="32"/>
        </w:rPr>
      </w:pPr>
    </w:p>
    <w:p>
      <w:pPr>
        <w:pStyle w:val="2"/>
        <w:spacing w:before="0" w:after="0" w:line="584" w:lineRule="exact"/>
        <w:jc w:val="center"/>
      </w:pPr>
    </w:p>
    <w:p>
      <w:pPr>
        <w:pStyle w:val="2"/>
        <w:spacing w:before="0" w:after="0" w:line="584" w:lineRule="exact"/>
        <w:ind w:firstLine="2650" w:firstLineChars="600"/>
        <w:jc w:val="both"/>
      </w:pPr>
      <w:bookmarkStart w:id="1" w:name="_GoBack"/>
      <w:bookmarkEnd w:id="1"/>
      <w:r>
        <w:t>第四部分名词解释</w:t>
      </w:r>
    </w:p>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（一）财政拨款收入：</w:t>
      </w:r>
      <w:r>
        <w:rPr>
          <w:rFonts w:ascii="仿宋" w:hAnsi="仿宋" w:eastAsia="仿宋"/>
          <w:color w:val="000000"/>
          <w:kern w:val="0"/>
          <w:sz w:val="32"/>
          <w:szCs w:val="32"/>
        </w:rPr>
        <w:t>本年度从本级财政部门取得的财政拨款，包括一般公共预算财政拨款和政府性基金预算财政拨款。</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（二）事业收入</w:t>
      </w:r>
      <w:r>
        <w:rPr>
          <w:rFonts w:ascii="仿宋" w:hAnsi="仿宋" w:eastAsia="仿宋"/>
          <w:color w:val="000000"/>
          <w:kern w:val="0"/>
          <w:sz w:val="32"/>
          <w:szCs w:val="32"/>
        </w:rPr>
        <w:t>：指事业单位开展专业业务活动及辅助活动所取得的收入。</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（三）其他收入</w:t>
      </w:r>
      <w:r>
        <w:rPr>
          <w:rFonts w:ascii="仿宋" w:hAnsi="仿宋" w:eastAsia="仿宋"/>
          <w:color w:val="000000"/>
          <w:kern w:val="0"/>
          <w:sz w:val="32"/>
          <w:szCs w:val="32"/>
        </w:rPr>
        <w:t>：指除上述“财政拨款收入”、“事业收入”、“经营收入”等以外的收入。</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（四）用事业基金弥补收支差额</w:t>
      </w:r>
      <w:r>
        <w:rPr>
          <w:rFonts w:ascii="仿宋" w:hAnsi="仿宋" w:eastAsia="仿宋"/>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（五）年初结转和结余</w:t>
      </w:r>
      <w:r>
        <w:rPr>
          <w:rFonts w:ascii="仿宋" w:hAnsi="仿宋" w:eastAsia="仿宋"/>
          <w:color w:val="000000"/>
          <w:kern w:val="0"/>
          <w:sz w:val="32"/>
          <w:szCs w:val="32"/>
        </w:rPr>
        <w:t>：指以前年度尚未完成、结转到本年仍按原规定用途继续使用的资金，或项目已完成等产生的结余资金。</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（六）结余分配</w:t>
      </w:r>
      <w:r>
        <w:rPr>
          <w:rFonts w:ascii="仿宋" w:hAnsi="仿宋" w:eastAsia="仿宋"/>
          <w:color w:val="000000"/>
          <w:kern w:val="0"/>
          <w:sz w:val="32"/>
          <w:szCs w:val="32"/>
        </w:rPr>
        <w:t>：指事业单位按照事业单位会计制度的规定从非财政补助结余中分配的事业基金和职工福利基金等。</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（七）年末结转和结余</w:t>
      </w:r>
      <w:r>
        <w:rPr>
          <w:rFonts w:ascii="仿宋" w:hAnsi="仿宋" w:eastAsia="仿宋"/>
          <w:color w:val="000000"/>
          <w:kern w:val="0"/>
          <w:sz w:val="32"/>
          <w:szCs w:val="32"/>
        </w:rPr>
        <w:t>：指单位按有关规定结转到下年或以后年度继续使用的资金，或项目已完成等产生的结余资金。</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（八）基本支出</w:t>
      </w:r>
      <w:r>
        <w:rPr>
          <w:rFonts w:ascii="仿宋" w:hAnsi="仿宋" w:eastAsia="仿宋"/>
          <w:color w:val="000000"/>
          <w:kern w:val="0"/>
          <w:sz w:val="32"/>
          <w:szCs w:val="32"/>
        </w:rPr>
        <w:t>：填列单位为保障机构正常运转、完成日常工作任务而发生的各项支出。</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（九）项目支出</w:t>
      </w:r>
      <w:r>
        <w:rPr>
          <w:rFonts w:ascii="仿宋" w:hAnsi="仿宋" w:eastAsia="仿宋"/>
          <w:color w:val="000000"/>
          <w:kern w:val="0"/>
          <w:sz w:val="32"/>
          <w:szCs w:val="32"/>
        </w:rPr>
        <w:t>：填列单位为完成特定的行政工作任务或事业发展目标，在基本支出之外发生的各项支出</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（十）基本建设支出</w:t>
      </w:r>
      <w:r>
        <w:rPr>
          <w:rFonts w:ascii="仿宋" w:hAnsi="仿宋" w:eastAsia="仿宋"/>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（十一）其他资本性支出</w:t>
      </w:r>
      <w:r>
        <w:rPr>
          <w:rFonts w:ascii="仿宋" w:hAnsi="仿宋" w:eastAsia="仿宋"/>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（十二）“三公”经费</w:t>
      </w:r>
      <w:r>
        <w:rPr>
          <w:rFonts w:ascii="仿宋" w:hAnsi="仿宋" w:eastAsia="仿宋"/>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（十三）其他交通费用</w:t>
      </w:r>
      <w:r>
        <w:rPr>
          <w:rFonts w:ascii="仿宋" w:hAnsi="仿宋" w:eastAsia="仿宋"/>
          <w:color w:val="000000"/>
          <w:kern w:val="0"/>
          <w:sz w:val="32"/>
          <w:szCs w:val="32"/>
        </w:rPr>
        <w:t>：填列单位除公务用车运行维护费以外的其他交通费用。如飞机、船舶等的燃料费、维修费、过桥过路费、保险费、出租车费用、公务交通补贴等。</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（十四）公务用车购置</w:t>
      </w:r>
      <w:r>
        <w:rPr>
          <w:rFonts w:ascii="仿宋" w:hAnsi="仿宋" w:eastAsia="仿宋"/>
          <w:color w:val="000000"/>
          <w:kern w:val="0"/>
          <w:sz w:val="32"/>
          <w:szCs w:val="32"/>
        </w:rPr>
        <w:t>：填列单位公务用车车辆购置支出（含车辆购置税）。</w:t>
      </w:r>
    </w:p>
    <w:p>
      <w:pPr>
        <w:spacing w:line="584" w:lineRule="exact"/>
        <w:ind w:firstLine="640" w:firstLineChars="200"/>
        <w:rPr>
          <w:rFonts w:ascii="仿宋" w:hAnsi="仿宋" w:eastAsia="仿宋"/>
          <w:color w:val="000000"/>
          <w:kern w:val="0"/>
          <w:sz w:val="32"/>
          <w:szCs w:val="32"/>
        </w:rPr>
      </w:pPr>
      <w:r>
        <w:rPr>
          <w:rFonts w:ascii="楷体" w:hAnsi="楷体" w:eastAsia="楷体"/>
          <w:color w:val="000000"/>
          <w:kern w:val="0"/>
          <w:sz w:val="32"/>
          <w:szCs w:val="32"/>
        </w:rPr>
        <w:t>（十五）其他交通工具购置</w:t>
      </w:r>
      <w:r>
        <w:rPr>
          <w:rFonts w:ascii="仿宋" w:hAnsi="仿宋" w:eastAsia="仿宋"/>
          <w:color w:val="000000"/>
          <w:kern w:val="0"/>
          <w:sz w:val="32"/>
          <w:szCs w:val="32"/>
        </w:rPr>
        <w:t>：填列单位除公务用车外的其他各类交通工具（如船舶、飞机）购置支出（含车辆购置税）。</w:t>
      </w:r>
    </w:p>
    <w:p>
      <w:pPr>
        <w:ind w:firstLine="640" w:firstLineChars="200"/>
        <w:rPr>
          <w:rFonts w:ascii="仿宋" w:hAnsi="仿宋" w:eastAsia="仿宋"/>
          <w:color w:val="000000"/>
          <w:kern w:val="0"/>
          <w:sz w:val="32"/>
          <w:szCs w:val="32"/>
        </w:rPr>
      </w:pPr>
      <w:r>
        <w:rPr>
          <w:rFonts w:ascii="楷体" w:hAnsi="楷体" w:eastAsia="楷体"/>
          <w:color w:val="000000"/>
          <w:kern w:val="0"/>
          <w:sz w:val="32"/>
          <w:szCs w:val="32"/>
        </w:rPr>
        <w:t>（十六） 机关运行经费</w:t>
      </w:r>
      <w:r>
        <w:rPr>
          <w:rFonts w:ascii="仿宋" w:hAnsi="仿宋" w:eastAsia="仿宋"/>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rFonts w:ascii="仿宋" w:hAnsi="仿宋" w:eastAsia="仿宋"/>
          <w:color w:val="000000"/>
          <w:kern w:val="0"/>
          <w:sz w:val="32"/>
          <w:szCs w:val="32"/>
        </w:rPr>
      </w:pPr>
    </w:p>
    <w:p>
      <w:pPr>
        <w:rPr>
          <w:rFonts w:ascii="仿宋" w:hAnsi="仿宋" w:eastAsia="仿宋"/>
          <w:color w:val="000000"/>
          <w:kern w:val="0"/>
          <w:sz w:val="32"/>
          <w:szCs w:val="32"/>
        </w:rPr>
      </w:pPr>
    </w:p>
    <w:p>
      <w:pPr>
        <w:rPr>
          <w:rFonts w:ascii="仿宋" w:hAnsi="仿宋" w:eastAsia="仿宋"/>
          <w:color w:val="000000"/>
          <w:kern w:val="0"/>
          <w:sz w:val="32"/>
          <w:szCs w:val="32"/>
        </w:rPr>
      </w:pPr>
    </w:p>
    <w:p>
      <w:pPr>
        <w:rPr>
          <w:rFonts w:ascii="仿宋" w:hAnsi="仿宋" w:eastAsia="仿宋"/>
          <w:color w:val="000000"/>
          <w:kern w:val="0"/>
          <w:sz w:val="32"/>
          <w:szCs w:val="32"/>
        </w:rPr>
      </w:pPr>
    </w:p>
    <w:p>
      <w:pPr>
        <w:rPr>
          <w:rFonts w:ascii="仿宋" w:hAnsi="仿宋" w:eastAsia="仿宋"/>
          <w:color w:val="000000"/>
          <w:kern w:val="0"/>
          <w:sz w:val="32"/>
          <w:szCs w:val="32"/>
        </w:rPr>
      </w:pPr>
    </w:p>
    <w:p>
      <w:pPr>
        <w:rPr>
          <w:rFonts w:ascii="仿宋" w:hAnsi="仿宋" w:eastAsia="仿宋"/>
          <w:color w:val="000000"/>
          <w:kern w:val="0"/>
          <w:sz w:val="32"/>
          <w:szCs w:val="32"/>
        </w:rPr>
      </w:pPr>
    </w:p>
    <w:p>
      <w:pPr>
        <w:rPr>
          <w:rFonts w:ascii="仿宋" w:hAnsi="仿宋" w:eastAsia="仿宋"/>
          <w:color w:val="000000"/>
          <w:kern w:val="0"/>
          <w:sz w:val="32"/>
          <w:szCs w:val="32"/>
        </w:rPr>
      </w:pPr>
    </w:p>
    <w:p>
      <w:pPr>
        <w:rPr>
          <w:rFonts w:ascii="仿宋" w:hAnsi="仿宋" w:eastAsia="仿宋"/>
          <w:color w:val="000000"/>
          <w:kern w:val="0"/>
          <w:sz w:val="32"/>
          <w:szCs w:val="32"/>
        </w:rPr>
      </w:pPr>
    </w:p>
    <w:p>
      <w:pPr>
        <w:rPr>
          <w:rFonts w:ascii="仿宋" w:hAnsi="仿宋" w:eastAsia="仿宋"/>
          <w:color w:val="000000"/>
          <w:kern w:val="0"/>
          <w:sz w:val="32"/>
          <w:szCs w:val="32"/>
        </w:rPr>
      </w:pPr>
    </w:p>
    <w:p>
      <w:pPr>
        <w:rPr>
          <w:rFonts w:ascii="仿宋" w:hAnsi="仿宋" w:eastAsia="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小标宋">
    <w:altName w:val="黑体"/>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20" w:leftChars="200" w:right="420" w:right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AC83"/>
    <w:multiLevelType w:val="singleLevel"/>
    <w:tmpl w:val="316AAC8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3EFE"/>
    <w:rsid w:val="00075850"/>
    <w:rsid w:val="00085768"/>
    <w:rsid w:val="000C1700"/>
    <w:rsid w:val="001415B6"/>
    <w:rsid w:val="00143EFE"/>
    <w:rsid w:val="002A0B51"/>
    <w:rsid w:val="00637E7F"/>
    <w:rsid w:val="006B6FAB"/>
    <w:rsid w:val="00A33F82"/>
    <w:rsid w:val="00A55CA9"/>
    <w:rsid w:val="00C3608C"/>
    <w:rsid w:val="00C648EB"/>
    <w:rsid w:val="00D23FAB"/>
    <w:rsid w:val="00E456B8"/>
    <w:rsid w:val="202E43D6"/>
    <w:rsid w:val="25682FA9"/>
    <w:rsid w:val="4B5C427F"/>
    <w:rsid w:val="520406AD"/>
    <w:rsid w:val="65F01705"/>
    <w:rsid w:val="68A7231F"/>
    <w:rsid w:val="6C1A716C"/>
    <w:rsid w:val="6F787848"/>
    <w:rsid w:val="735E654E"/>
    <w:rsid w:val="76EB1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uiPriority w:val="99"/>
    <w:pPr>
      <w:spacing w:line="240" w:lineRule="atLeast"/>
    </w:pPr>
    <w:rPr>
      <w:rFonts w:eastAsia="小标宋" w:cs="Times New Roman"/>
      <w:sz w:val="44"/>
      <w:szCs w:val="20"/>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标题 1 Char"/>
    <w:basedOn w:val="9"/>
    <w:link w:val="2"/>
    <w:qFormat/>
    <w:uiPriority w:val="9"/>
    <w:rPr>
      <w:rFonts w:ascii="Times New Roman" w:hAnsi="Times New Roman" w:eastAsia="宋体" w:cs="Times New Roman"/>
      <w:b/>
      <w:bCs/>
      <w:kern w:val="44"/>
      <w:sz w:val="44"/>
      <w:szCs w:val="44"/>
    </w:rPr>
  </w:style>
  <w:style w:type="character" w:customStyle="1" w:styleId="11">
    <w:name w:val="标题 2 Char"/>
    <w:basedOn w:val="9"/>
    <w:link w:val="3"/>
    <w:qFormat/>
    <w:uiPriority w:val="9"/>
    <w:rPr>
      <w:rFonts w:ascii="Cambria" w:hAnsi="Cambria" w:eastAsia="宋体" w:cs="Times New Roman"/>
      <w:b/>
      <w:bCs/>
      <w:sz w:val="32"/>
      <w:szCs w:val="32"/>
    </w:rPr>
  </w:style>
  <w:style w:type="character" w:customStyle="1" w:styleId="12">
    <w:name w:val="标题 3 Char"/>
    <w:basedOn w:val="9"/>
    <w:link w:val="4"/>
    <w:qFormat/>
    <w:uiPriority w:val="9"/>
    <w:rPr>
      <w:rFonts w:ascii="Times New Roman" w:hAnsi="Times New Roman" w:eastAsia="宋体" w:cs="Times New Roman"/>
      <w:b/>
      <w:bCs/>
      <w:sz w:val="32"/>
      <w:szCs w:val="32"/>
    </w:rPr>
  </w:style>
  <w:style w:type="character" w:customStyle="1" w:styleId="13">
    <w:name w:val="页脚 Char"/>
    <w:basedOn w:val="9"/>
    <w:link w:val="6"/>
    <w:uiPriority w:val="99"/>
    <w:rPr>
      <w:rFonts w:ascii="Times New Roman" w:hAnsi="Times New Roman" w:eastAsia="宋体" w:cs="Times New Roman"/>
      <w:sz w:val="18"/>
      <w:szCs w:val="18"/>
    </w:rPr>
  </w:style>
  <w:style w:type="character" w:customStyle="1" w:styleId="14">
    <w:name w:val="页眉 Char"/>
    <w:basedOn w:val="9"/>
    <w:link w:val="7"/>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28294314381271"/>
          <c:y val="0.0562008242787561"/>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收入决算构成</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1"/>
              <c:delete val="1"/>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拨款收入</c:v>
                </c:pt>
                <c:pt idx="1">
                  <c:v>事业收入</c:v>
                </c:pt>
                <c:pt idx="2">
                  <c:v>经营收入</c:v>
                </c:pt>
                <c:pt idx="3">
                  <c:v>其他收入</c:v>
                </c:pt>
              </c:strCache>
            </c:strRef>
          </c:cat>
          <c:val>
            <c:numRef>
              <c:f>Sheet1!$B$2:$B$5</c:f>
              <c:numCache>
                <c:formatCode>General</c:formatCode>
                <c:ptCount val="4"/>
                <c:pt idx="0">
                  <c:v>100</c:v>
                </c:pt>
                <c:pt idx="1">
                  <c:v>0</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alpha val="99000"/>
                  </a:schemeClr>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基本支出</c:v>
                </c:pt>
                <c:pt idx="1">
                  <c:v>项目支出</c:v>
                </c:pt>
                <c:pt idx="2">
                  <c:v>其他支出</c:v>
                </c:pt>
              </c:strCache>
            </c:strRef>
          </c:cat>
          <c:val>
            <c:numRef>
              <c:f>Sheet1!$B$2:$B$4</c:f>
              <c:numCache>
                <c:formatCode>General</c:formatCode>
                <c:ptCount val="3"/>
                <c:pt idx="0">
                  <c:v>49</c:v>
                </c:pt>
                <c:pt idx="1">
                  <c:v>51</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1168</Words>
  <Characters>6661</Characters>
  <Lines>55</Lines>
  <Paragraphs>15</Paragraphs>
  <TotalTime>5</TotalTime>
  <ScaleCrop>false</ScaleCrop>
  <LinksUpToDate>false</LinksUpToDate>
  <CharactersWithSpaces>7814</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2018-10-25T02:08:00Z</dcterms:created>
  <dc:creator>刘华吉</dc:creator>
  <cp:lastModifiedBy>Administrator</cp:lastModifiedBy>
  <dcterms:modified xsi:type="dcterms:W3CDTF">2019-03-01T03:48:51Z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