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b/>
          <w:sz w:val="44"/>
          <w:szCs w:val="44"/>
        </w:rPr>
        <w:t>廊坊市</w:t>
      </w:r>
      <w:r>
        <w:rPr>
          <w:rFonts w:hint="eastAsia"/>
          <w:b/>
          <w:sz w:val="44"/>
          <w:szCs w:val="44"/>
        </w:rPr>
        <w:t>大城县南赵扶镇人民政府</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rPr>
        <w:t>大城县南赵扶镇人民政府</w:t>
      </w:r>
      <w:r>
        <w:rPr>
          <w:rFonts w:eastAsia="黑体"/>
          <w:sz w:val="32"/>
          <w:szCs w:val="32"/>
        </w:rPr>
        <w:t>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大城县南赵扶镇人民政府</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大城县南赵扶镇人民政府</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rPr>
          <w:color w:val="000000"/>
          <w:kern w:val="0"/>
        </w:rPr>
      </w:pPr>
    </w:p>
    <w:p>
      <w:pPr>
        <w:rPr>
          <w:color w:val="000000"/>
          <w:kern w:val="0"/>
        </w:rPr>
      </w:pPr>
    </w:p>
    <w:p>
      <w:pP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一、部门职责</w:t>
      </w:r>
    </w:p>
    <w:p>
      <w:pPr>
        <w:widowControl/>
        <w:spacing w:line="584" w:lineRule="exact"/>
        <w:ind w:firstLine="640" w:firstLineChars="200"/>
        <w:jc w:val="left"/>
        <w:rPr>
          <w:rFonts w:ascii="Calibri" w:hAnsi="Calibri" w:eastAsia="仿宋_GB2312"/>
          <w:sz w:val="32"/>
          <w:szCs w:val="32"/>
        </w:rPr>
      </w:pPr>
      <w:r>
        <w:rPr>
          <w:rFonts w:hint="eastAsia" w:ascii="仿宋_GB2312" w:hAnsi="仿宋_GB2312" w:eastAsia="仿宋_GB2312" w:cs="仿宋_GB2312"/>
          <w:sz w:val="32"/>
          <w:szCs w:val="32"/>
        </w:rPr>
        <w:t>1</w:t>
      </w:r>
      <w:r>
        <w:rPr>
          <w:rFonts w:hint="eastAsia" w:ascii="Calibri" w:hAnsi="Calibri" w:eastAsia="仿宋_GB2312"/>
          <w:sz w:val="32"/>
          <w:szCs w:val="32"/>
        </w:rPr>
        <w:t>、负责乡镇各部门的综合协调、上传下达、文印收发、信息反馈、档案管理、机关事务等工作。</w:t>
      </w:r>
    </w:p>
    <w:p>
      <w:pPr>
        <w:widowControl/>
        <w:spacing w:line="584" w:lineRule="exact"/>
        <w:ind w:firstLine="640" w:firstLineChars="200"/>
        <w:jc w:val="left"/>
        <w:rPr>
          <w:rFonts w:ascii="Calibri" w:hAnsi="Calibri" w:eastAsia="仿宋_GB2312"/>
          <w:sz w:val="32"/>
          <w:szCs w:val="32"/>
        </w:rPr>
      </w:pPr>
      <w:r>
        <w:rPr>
          <w:rFonts w:hint="eastAsia" w:ascii="Calibri" w:hAnsi="Calibri" w:eastAsia="仿宋_GB2312"/>
          <w:sz w:val="32"/>
          <w:szCs w:val="32"/>
        </w:rPr>
        <w:t>2、负责科技、教育、人力资源和社会保障、文化、卫生、统计、体育、广播、电视、物价等方面工作的协调、管理；监督、指导文化服务中心的工作。</w:t>
      </w:r>
    </w:p>
    <w:p>
      <w:pPr>
        <w:widowControl/>
        <w:spacing w:line="584" w:lineRule="exact"/>
        <w:ind w:firstLine="640" w:firstLineChars="200"/>
        <w:jc w:val="left"/>
        <w:rPr>
          <w:rFonts w:ascii="Calibri" w:hAnsi="Calibri" w:eastAsia="仿宋_GB2312"/>
          <w:sz w:val="32"/>
          <w:szCs w:val="32"/>
        </w:rPr>
      </w:pPr>
      <w:r>
        <w:rPr>
          <w:rFonts w:hint="eastAsia" w:ascii="Calibri" w:hAnsi="Calibri" w:eastAsia="仿宋_GB2312"/>
          <w:sz w:val="32"/>
          <w:szCs w:val="32"/>
        </w:rPr>
        <w:t>3、贯彻执行国家财政的法律、法规、方针政策、负责乡镇财政收支、预决算的编制并组织执行；负责辖区内财政资金使用情况的监管工作。</w:t>
      </w:r>
    </w:p>
    <w:p>
      <w:pPr>
        <w:widowControl/>
        <w:spacing w:line="584" w:lineRule="exact"/>
        <w:ind w:firstLine="640" w:firstLineChars="200"/>
        <w:jc w:val="left"/>
        <w:rPr>
          <w:rFonts w:ascii="Calibri" w:hAnsi="Calibri" w:eastAsia="仿宋_GB2312"/>
          <w:sz w:val="32"/>
          <w:szCs w:val="32"/>
        </w:rPr>
      </w:pPr>
      <w:r>
        <w:rPr>
          <w:rFonts w:hint="eastAsia" w:ascii="Calibri" w:hAnsi="Calibri" w:eastAsia="仿宋_GB2312"/>
          <w:sz w:val="32"/>
          <w:szCs w:val="32"/>
        </w:rPr>
        <w:t>4、负责辖区内常驻、暂住、流动人口的计划生育服务工作；负责育龄妇女的优生优育服务、避孕药具的发放及婚育培训等工作。</w:t>
      </w:r>
    </w:p>
    <w:p>
      <w:pPr>
        <w:widowControl/>
        <w:spacing w:line="584" w:lineRule="exact"/>
        <w:ind w:firstLine="640" w:firstLineChars="200"/>
        <w:jc w:val="left"/>
        <w:rPr>
          <w:rFonts w:ascii="Calibri" w:hAnsi="Calibri" w:eastAsia="仿宋_GB2312"/>
          <w:sz w:val="32"/>
          <w:szCs w:val="32"/>
        </w:rPr>
      </w:pPr>
      <w:r>
        <w:rPr>
          <w:rFonts w:hint="eastAsia" w:ascii="Calibri" w:hAnsi="Calibri" w:eastAsia="仿宋_GB2312"/>
          <w:sz w:val="32"/>
          <w:szCs w:val="32"/>
        </w:rPr>
        <w:t>5、负责环境保护、食品药品、农业、林业、水利等方面工作的协调管理；监督执行乡村建设规划。</w:t>
      </w:r>
    </w:p>
    <w:p>
      <w:pPr>
        <w:autoSpaceDE w:val="0"/>
        <w:autoSpaceDN w:val="0"/>
        <w:adjustRightInd w:val="0"/>
        <w:spacing w:line="584" w:lineRule="exact"/>
        <w:ind w:firstLine="640" w:firstLineChars="200"/>
        <w:jc w:val="left"/>
        <w:rPr>
          <w:rFonts w:eastAsia="仿宋_GB2312"/>
          <w:kern w:val="0"/>
          <w:sz w:val="32"/>
          <w:szCs w:val="32"/>
        </w:rPr>
      </w:pPr>
      <w:r>
        <w:rPr>
          <w:rFonts w:hint="eastAsia" w:ascii="Calibri" w:hAnsi="Calibri" w:eastAsia="仿宋_GB2312"/>
          <w:sz w:val="32"/>
          <w:szCs w:val="32"/>
        </w:rPr>
        <w:t>6、负责人大、工会、妇联、共青团等方面工作</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二、部门决算单位构成</w:t>
      </w:r>
    </w:p>
    <w:p>
      <w:pPr>
        <w:autoSpaceDE w:val="0"/>
        <w:autoSpaceDN w:val="0"/>
        <w:adjustRightInd w:val="0"/>
        <w:spacing w:line="584" w:lineRule="exact"/>
        <w:ind w:firstLine="640" w:firstLineChars="200"/>
        <w:jc w:val="center"/>
        <w:rPr>
          <w:rFonts w:eastAsia="仿宋_GB2312"/>
          <w:sz w:val="32"/>
          <w:szCs w:val="32"/>
        </w:rPr>
      </w:pPr>
      <w:r>
        <w:rPr>
          <w:rFonts w:eastAsia="仿宋_GB2312"/>
          <w:sz w:val="32"/>
          <w:szCs w:val="32"/>
        </w:rPr>
        <w:t>部门</w:t>
      </w:r>
      <w:r>
        <w:rPr>
          <w:rFonts w:hint="eastAsia" w:eastAsia="仿宋_GB2312"/>
          <w:sz w:val="32"/>
          <w:szCs w:val="32"/>
        </w:rPr>
        <w:t>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eastAsia="方正书宋_GBK"/>
                <w:b/>
              </w:rPr>
            </w:pPr>
            <w:r>
              <w:rPr>
                <w:rFonts w:eastAsia="方正书宋_GBK"/>
                <w:b/>
              </w:rPr>
              <w:t>单位名称</w:t>
            </w:r>
          </w:p>
        </w:tc>
        <w:tc>
          <w:tcPr>
            <w:tcW w:w="1134" w:type="dxa"/>
            <w:vMerge w:val="restart"/>
            <w:vAlign w:val="center"/>
          </w:tcPr>
          <w:p>
            <w:pPr>
              <w:spacing w:line="300" w:lineRule="exact"/>
              <w:jc w:val="center"/>
              <w:rPr>
                <w:rFonts w:eastAsia="方正书宋_GBK"/>
                <w:b/>
              </w:rPr>
            </w:pPr>
            <w:r>
              <w:rPr>
                <w:rFonts w:eastAsia="方正书宋_GBK"/>
                <w:b/>
              </w:rPr>
              <w:t>单位性质</w:t>
            </w:r>
          </w:p>
        </w:tc>
        <w:tc>
          <w:tcPr>
            <w:tcW w:w="1276" w:type="dxa"/>
            <w:vMerge w:val="restart"/>
            <w:vAlign w:val="center"/>
          </w:tcPr>
          <w:p>
            <w:pPr>
              <w:spacing w:line="300" w:lineRule="exact"/>
              <w:jc w:val="center"/>
              <w:rPr>
                <w:rFonts w:eastAsia="方正书宋_GBK"/>
                <w:b/>
              </w:rPr>
            </w:pPr>
            <w:r>
              <w:rPr>
                <w:rFonts w:eastAsia="方正书宋_GBK"/>
                <w:b/>
              </w:rPr>
              <w:t>单位规格</w:t>
            </w:r>
          </w:p>
        </w:tc>
        <w:tc>
          <w:tcPr>
            <w:tcW w:w="2902" w:type="dxa"/>
            <w:vMerge w:val="restart"/>
            <w:vAlign w:val="center"/>
          </w:tcPr>
          <w:p>
            <w:pPr>
              <w:spacing w:line="30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02"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ascii="方正书宋_GBK" w:eastAsia="方正书宋_GBK"/>
              </w:rPr>
              <w:t>南赵扶镇党委</w:t>
            </w:r>
          </w:p>
        </w:tc>
        <w:tc>
          <w:tcPr>
            <w:tcW w:w="1134" w:type="dxa"/>
            <w:vAlign w:val="center"/>
          </w:tcPr>
          <w:p>
            <w:pPr>
              <w:spacing w:line="300" w:lineRule="exact"/>
              <w:jc w:val="center"/>
              <w:rPr>
                <w:rFonts w:eastAsia="方正书宋_GBK"/>
              </w:rPr>
            </w:pPr>
            <w:r>
              <w:rPr>
                <w:rFonts w:hint="eastAsia" w:ascii="方正书宋_GBK" w:eastAsia="方正书宋_GBK"/>
              </w:rPr>
              <w:t>行政</w:t>
            </w:r>
          </w:p>
        </w:tc>
        <w:tc>
          <w:tcPr>
            <w:tcW w:w="1276" w:type="dxa"/>
            <w:vAlign w:val="center"/>
          </w:tcPr>
          <w:p>
            <w:pPr>
              <w:spacing w:line="300" w:lineRule="exact"/>
              <w:jc w:val="center"/>
              <w:rPr>
                <w:rFonts w:eastAsia="方正书宋_GBK"/>
              </w:rPr>
            </w:pPr>
            <w:r>
              <w:rPr>
                <w:rFonts w:hint="eastAsia" w:ascii="方正书宋_GBK" w:eastAsia="方正书宋_GBK"/>
              </w:rPr>
              <w:t>正科级</w:t>
            </w:r>
          </w:p>
        </w:tc>
        <w:tc>
          <w:tcPr>
            <w:tcW w:w="2902" w:type="dxa"/>
            <w:vAlign w:val="center"/>
          </w:tcPr>
          <w:p>
            <w:pPr>
              <w:spacing w:line="300" w:lineRule="exact"/>
              <w:jc w:val="center"/>
              <w:rPr>
                <w:rFonts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ascii="方正书宋_GBK" w:eastAsia="方正书宋_GBK"/>
              </w:rPr>
              <w:t>南赵扶镇政府</w:t>
            </w:r>
          </w:p>
        </w:tc>
        <w:tc>
          <w:tcPr>
            <w:tcW w:w="1134" w:type="dxa"/>
            <w:vAlign w:val="center"/>
          </w:tcPr>
          <w:p>
            <w:pPr>
              <w:spacing w:line="300" w:lineRule="exact"/>
              <w:jc w:val="center"/>
              <w:rPr>
                <w:rFonts w:eastAsia="方正书宋_GBK"/>
              </w:rPr>
            </w:pPr>
            <w:r>
              <w:rPr>
                <w:rFonts w:hint="eastAsia" w:ascii="方正书宋_GBK" w:eastAsia="方正书宋_GBK"/>
              </w:rPr>
              <w:t>行政</w:t>
            </w:r>
          </w:p>
        </w:tc>
        <w:tc>
          <w:tcPr>
            <w:tcW w:w="1276" w:type="dxa"/>
            <w:vAlign w:val="center"/>
          </w:tcPr>
          <w:p>
            <w:pPr>
              <w:spacing w:line="300" w:lineRule="exact"/>
              <w:jc w:val="center"/>
              <w:rPr>
                <w:rFonts w:eastAsia="方正书宋_GBK"/>
              </w:rPr>
            </w:pPr>
            <w:r>
              <w:rPr>
                <w:rFonts w:hint="eastAsia" w:ascii="方正书宋_GBK" w:eastAsia="方正书宋_GBK"/>
              </w:rPr>
              <w:t>正科级</w:t>
            </w:r>
          </w:p>
        </w:tc>
        <w:tc>
          <w:tcPr>
            <w:tcW w:w="2902" w:type="dxa"/>
            <w:vAlign w:val="center"/>
          </w:tcPr>
          <w:p>
            <w:pPr>
              <w:spacing w:line="300" w:lineRule="exact"/>
              <w:jc w:val="center"/>
              <w:rPr>
                <w:rFonts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ascii="方正书宋_GBK" w:eastAsia="方正书宋_GBK"/>
              </w:rPr>
              <w:t>南赵扶镇财政所</w:t>
            </w:r>
          </w:p>
        </w:tc>
        <w:tc>
          <w:tcPr>
            <w:tcW w:w="1134" w:type="dxa"/>
            <w:vAlign w:val="center"/>
          </w:tcPr>
          <w:p>
            <w:pPr>
              <w:spacing w:line="300" w:lineRule="exact"/>
              <w:jc w:val="center"/>
              <w:rPr>
                <w:rFonts w:eastAsia="方正书宋_GBK"/>
              </w:rPr>
            </w:pPr>
            <w:r>
              <w:rPr>
                <w:rFonts w:hint="eastAsia" w:ascii="方正书宋_GBK" w:eastAsia="方正书宋_GBK"/>
              </w:rPr>
              <w:t>事业</w:t>
            </w:r>
          </w:p>
        </w:tc>
        <w:tc>
          <w:tcPr>
            <w:tcW w:w="1276" w:type="dxa"/>
            <w:vAlign w:val="center"/>
          </w:tcPr>
          <w:p>
            <w:pPr>
              <w:spacing w:line="300" w:lineRule="exact"/>
              <w:jc w:val="center"/>
              <w:rPr>
                <w:rFonts w:eastAsia="方正书宋_GBK"/>
              </w:rPr>
            </w:pPr>
            <w:r>
              <w:rPr>
                <w:rFonts w:hint="eastAsia" w:ascii="方正书宋_GBK" w:eastAsia="方正书宋_GBK"/>
              </w:rPr>
              <w:t>股级</w:t>
            </w:r>
          </w:p>
        </w:tc>
        <w:tc>
          <w:tcPr>
            <w:tcW w:w="2902" w:type="dxa"/>
            <w:vAlign w:val="center"/>
          </w:tcPr>
          <w:p>
            <w:pPr>
              <w:spacing w:line="300" w:lineRule="exact"/>
              <w:jc w:val="center"/>
              <w:rPr>
                <w:rFonts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ascii="方正书宋_GBK" w:eastAsia="方正书宋_GBK"/>
              </w:rPr>
              <w:t>南赵扶镇计生办</w:t>
            </w:r>
          </w:p>
        </w:tc>
        <w:tc>
          <w:tcPr>
            <w:tcW w:w="1134" w:type="dxa"/>
            <w:vAlign w:val="center"/>
          </w:tcPr>
          <w:p>
            <w:pPr>
              <w:spacing w:line="300" w:lineRule="exact"/>
              <w:jc w:val="center"/>
              <w:rPr>
                <w:rFonts w:eastAsia="方正书宋_GBK"/>
              </w:rPr>
            </w:pPr>
            <w:r>
              <w:rPr>
                <w:rFonts w:hint="eastAsia" w:ascii="方正书宋_GBK" w:eastAsia="方正书宋_GBK"/>
              </w:rPr>
              <w:t>事业</w:t>
            </w:r>
          </w:p>
        </w:tc>
        <w:tc>
          <w:tcPr>
            <w:tcW w:w="1276" w:type="dxa"/>
            <w:vAlign w:val="center"/>
          </w:tcPr>
          <w:p>
            <w:pPr>
              <w:spacing w:line="300" w:lineRule="exact"/>
              <w:jc w:val="center"/>
              <w:rPr>
                <w:rFonts w:eastAsia="方正书宋_GBK"/>
              </w:rPr>
            </w:pPr>
            <w:r>
              <w:rPr>
                <w:rFonts w:hint="eastAsia" w:ascii="方正书宋_GBK" w:eastAsia="方正书宋_GBK"/>
              </w:rPr>
              <w:t>股级</w:t>
            </w:r>
          </w:p>
        </w:tc>
        <w:tc>
          <w:tcPr>
            <w:tcW w:w="2902" w:type="dxa"/>
            <w:vAlign w:val="center"/>
          </w:tcPr>
          <w:p>
            <w:pPr>
              <w:spacing w:line="300" w:lineRule="exact"/>
              <w:jc w:val="center"/>
              <w:rPr>
                <w:rFonts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ascii="方正书宋_GBK" w:eastAsia="方正书宋_GBK"/>
              </w:rPr>
              <w:t>南赵扶镇农业办</w:t>
            </w:r>
          </w:p>
        </w:tc>
        <w:tc>
          <w:tcPr>
            <w:tcW w:w="1134" w:type="dxa"/>
            <w:vAlign w:val="center"/>
          </w:tcPr>
          <w:p>
            <w:pPr>
              <w:spacing w:line="300" w:lineRule="exact"/>
              <w:jc w:val="center"/>
              <w:rPr>
                <w:rFonts w:eastAsia="方正书宋_GBK"/>
              </w:rPr>
            </w:pPr>
            <w:r>
              <w:rPr>
                <w:rFonts w:hint="eastAsia" w:ascii="方正书宋_GBK" w:eastAsia="方正书宋_GBK"/>
              </w:rPr>
              <w:t>事业</w:t>
            </w:r>
          </w:p>
        </w:tc>
        <w:tc>
          <w:tcPr>
            <w:tcW w:w="1276" w:type="dxa"/>
            <w:vAlign w:val="center"/>
          </w:tcPr>
          <w:p>
            <w:pPr>
              <w:spacing w:line="300" w:lineRule="exact"/>
              <w:jc w:val="center"/>
              <w:rPr>
                <w:rFonts w:eastAsia="方正书宋_GBK"/>
              </w:rPr>
            </w:pPr>
            <w:r>
              <w:rPr>
                <w:rFonts w:hint="eastAsia" w:ascii="方正书宋_GBK" w:eastAsia="方正书宋_GBK"/>
              </w:rPr>
              <w:t>股级</w:t>
            </w:r>
          </w:p>
        </w:tc>
        <w:tc>
          <w:tcPr>
            <w:tcW w:w="2902" w:type="dxa"/>
            <w:vAlign w:val="center"/>
          </w:tcPr>
          <w:p>
            <w:pPr>
              <w:spacing w:line="300" w:lineRule="exact"/>
              <w:jc w:val="center"/>
              <w:rPr>
                <w:rFonts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ascii="方正书宋_GBK" w:eastAsia="方正书宋_GBK"/>
              </w:rPr>
              <w:t>南赵扶镇人大</w:t>
            </w:r>
          </w:p>
        </w:tc>
        <w:tc>
          <w:tcPr>
            <w:tcW w:w="1134" w:type="dxa"/>
            <w:vAlign w:val="center"/>
          </w:tcPr>
          <w:p>
            <w:pPr>
              <w:spacing w:line="300" w:lineRule="exact"/>
              <w:jc w:val="center"/>
              <w:rPr>
                <w:rFonts w:eastAsia="方正书宋_GBK"/>
              </w:rPr>
            </w:pPr>
            <w:r>
              <w:rPr>
                <w:rFonts w:hint="eastAsia" w:ascii="方正书宋_GBK" w:eastAsia="方正书宋_GBK"/>
              </w:rPr>
              <w:t>行政</w:t>
            </w:r>
          </w:p>
        </w:tc>
        <w:tc>
          <w:tcPr>
            <w:tcW w:w="1276" w:type="dxa"/>
            <w:vAlign w:val="center"/>
          </w:tcPr>
          <w:p>
            <w:pPr>
              <w:spacing w:line="300" w:lineRule="exact"/>
              <w:jc w:val="center"/>
              <w:rPr>
                <w:rFonts w:eastAsia="方正书宋_GBK"/>
              </w:rPr>
            </w:pPr>
            <w:r>
              <w:rPr>
                <w:rFonts w:hint="eastAsia" w:ascii="方正书宋_GBK" w:eastAsia="方正书宋_GBK"/>
              </w:rPr>
              <w:t>正科级</w:t>
            </w:r>
          </w:p>
        </w:tc>
        <w:tc>
          <w:tcPr>
            <w:tcW w:w="2902" w:type="dxa"/>
            <w:vAlign w:val="center"/>
          </w:tcPr>
          <w:p>
            <w:pPr>
              <w:spacing w:line="300" w:lineRule="exact"/>
              <w:jc w:val="center"/>
              <w:rPr>
                <w:rFonts w:eastAsia="方正书宋_GBK"/>
              </w:rPr>
            </w:pPr>
            <w:r>
              <w:rPr>
                <w:rFonts w:hint="eastAsia" w:ascii="方正书宋_GBK" w:eastAsia="方正书宋_GBK"/>
              </w:rPr>
              <w:t>财政拨款</w:t>
            </w:r>
          </w:p>
        </w:tc>
      </w:tr>
    </w:tbl>
    <w:p>
      <w:pPr>
        <w:autoSpaceDE w:val="0"/>
        <w:autoSpaceDN w:val="0"/>
        <w:adjustRightInd w:val="0"/>
        <w:spacing w:line="584" w:lineRule="exact"/>
        <w:ind w:firstLine="640" w:firstLineChars="200"/>
        <w:jc w:val="left"/>
        <w:rPr>
          <w:rFonts w:eastAsia="仿宋_GB2312"/>
          <w:sz w:val="32"/>
          <w:szCs w:val="3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spacing w:line="584" w:lineRule="exact"/>
        <w:ind w:firstLine="1124" w:firstLineChars="400"/>
        <w:jc w:val="left"/>
        <w:rPr>
          <w:rFonts w:eastAsia="仿宋_GB2312"/>
          <w:b/>
          <w:sz w:val="28"/>
          <w:szCs w:val="28"/>
        </w:rPr>
      </w:pPr>
      <w:r>
        <w:rPr>
          <w:rFonts w:eastAsia="仿宋_GB2312"/>
          <w:b/>
          <w:sz w:val="28"/>
          <w:szCs w:val="28"/>
        </w:rPr>
        <w:t>（</w:t>
      </w:r>
      <w:r>
        <w:rPr>
          <w:rFonts w:hint="eastAsia" w:eastAsia="仿宋_GB2312"/>
          <w:b/>
          <w:sz w:val="28"/>
          <w:szCs w:val="28"/>
        </w:rPr>
        <w:t>见附表）</w:t>
      </w:r>
    </w:p>
    <w:p>
      <w:pPr>
        <w:spacing w:line="584" w:lineRule="exact"/>
        <w:jc w:val="center"/>
        <w:rPr>
          <w:b/>
          <w:bCs/>
          <w:kern w:val="0"/>
          <w:sz w:val="44"/>
          <w:szCs w:val="44"/>
        </w:rPr>
        <w:sectPr>
          <w:footerReference r:id="rId3" w:type="default"/>
          <w:pgSz w:w="11906" w:h="16838"/>
          <w:pgMar w:top="1985" w:right="1531" w:bottom="1985" w:left="1531" w:header="851" w:footer="992" w:gutter="0"/>
          <w:cols w:space="425" w:num="1"/>
          <w:docGrid w:type="lines" w:linePitch="312" w:charSpace="0"/>
        </w:sectPr>
      </w:pPr>
    </w:p>
    <w:p>
      <w:pPr>
        <w:pStyle w:val="2"/>
        <w:spacing w:before="0" w:after="0" w:line="584" w:lineRule="exact"/>
        <w:rPr>
          <w:color w:val="000000"/>
          <w:kern w:val="0"/>
        </w:r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一、收入支出决算总体情况说明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rPr>
        <w:t>0万元</w:t>
      </w:r>
      <w:r>
        <w:rPr>
          <w:rFonts w:eastAsia="仿宋_GB2312"/>
          <w:sz w:val="32"/>
          <w:szCs w:val="32"/>
        </w:rPr>
        <w:t>，本年收入</w:t>
      </w:r>
      <w:r>
        <w:rPr>
          <w:rFonts w:hint="eastAsia" w:eastAsia="仿宋_GB2312"/>
          <w:sz w:val="32"/>
          <w:szCs w:val="32"/>
        </w:rPr>
        <w:t>5895.95</w:t>
      </w:r>
      <w:r>
        <w:rPr>
          <w:rFonts w:eastAsia="仿宋_GB2312"/>
          <w:sz w:val="32"/>
          <w:szCs w:val="32"/>
        </w:rPr>
        <w:t>万元；本年支出</w:t>
      </w:r>
      <w:r>
        <w:rPr>
          <w:rFonts w:hint="eastAsia" w:eastAsia="仿宋_GB2312"/>
          <w:sz w:val="32"/>
          <w:szCs w:val="32"/>
        </w:rPr>
        <w:t>5895.95</w:t>
      </w:r>
      <w:r>
        <w:rPr>
          <w:rFonts w:eastAsia="仿宋_GB2312"/>
          <w:sz w:val="32"/>
          <w:szCs w:val="32"/>
        </w:rPr>
        <w:t>万元、年末结转和结余</w:t>
      </w:r>
      <w:r>
        <w:rPr>
          <w:rFonts w:hint="eastAsia" w:eastAsia="仿宋_GB2312"/>
          <w:sz w:val="32"/>
          <w:szCs w:val="32"/>
        </w:rPr>
        <w:t>0</w:t>
      </w:r>
      <w:r>
        <w:rPr>
          <w:rFonts w:eastAsia="仿宋_GB2312"/>
          <w:sz w:val="32"/>
          <w:szCs w:val="32"/>
        </w:rPr>
        <w:t>万元。与2016年度决算相比，本年收入增加</w:t>
      </w:r>
      <w:r>
        <w:rPr>
          <w:rFonts w:hint="eastAsia" w:eastAsia="仿宋_GB2312"/>
          <w:sz w:val="32"/>
          <w:szCs w:val="32"/>
        </w:rPr>
        <w:t>4063.88</w:t>
      </w:r>
      <w:r>
        <w:rPr>
          <w:rFonts w:eastAsia="仿宋_GB2312"/>
          <w:sz w:val="32"/>
          <w:szCs w:val="32"/>
        </w:rPr>
        <w:t>万元，增长</w:t>
      </w:r>
      <w:r>
        <w:rPr>
          <w:rFonts w:hint="eastAsia" w:eastAsia="仿宋_GB2312"/>
          <w:sz w:val="32"/>
          <w:szCs w:val="32"/>
        </w:rPr>
        <w:t>68</w:t>
      </w:r>
      <w:r>
        <w:rPr>
          <w:rFonts w:eastAsia="仿宋_GB2312"/>
          <w:sz w:val="32"/>
          <w:szCs w:val="32"/>
        </w:rPr>
        <w:t>%，主要是</w:t>
      </w:r>
      <w:r>
        <w:rPr>
          <w:rFonts w:hint="eastAsia" w:eastAsia="仿宋_GB2312"/>
          <w:sz w:val="32"/>
          <w:szCs w:val="32"/>
        </w:rPr>
        <w:t>政府性基金预算财政拨款收入</w:t>
      </w:r>
      <w:r>
        <w:rPr>
          <w:rFonts w:eastAsia="仿宋_GB2312"/>
          <w:sz w:val="32"/>
          <w:szCs w:val="32"/>
        </w:rPr>
        <w:t>；本年支出增加</w:t>
      </w:r>
      <w:r>
        <w:rPr>
          <w:rFonts w:hint="eastAsia" w:eastAsia="仿宋_GB2312"/>
          <w:sz w:val="32"/>
          <w:szCs w:val="32"/>
        </w:rPr>
        <w:t>4063.88</w:t>
      </w:r>
      <w:r>
        <w:rPr>
          <w:rFonts w:eastAsia="仿宋_GB2312"/>
          <w:sz w:val="32"/>
          <w:szCs w:val="32"/>
        </w:rPr>
        <w:t>万元，增长</w:t>
      </w:r>
      <w:r>
        <w:rPr>
          <w:rFonts w:hint="eastAsia" w:eastAsia="仿宋_GB2312"/>
          <w:sz w:val="32"/>
          <w:szCs w:val="32"/>
        </w:rPr>
        <w:t>68</w:t>
      </w:r>
      <w:r>
        <w:rPr>
          <w:rFonts w:eastAsia="仿宋_GB2312"/>
          <w:sz w:val="32"/>
          <w:szCs w:val="32"/>
        </w:rPr>
        <w:t>%，主要是</w:t>
      </w:r>
      <w:r>
        <w:rPr>
          <w:rFonts w:hint="eastAsia" w:eastAsia="仿宋_GB2312"/>
          <w:sz w:val="32"/>
          <w:szCs w:val="32"/>
        </w:rPr>
        <w:t>其他支出</w:t>
      </w:r>
      <w:r>
        <w:rPr>
          <w:rFonts w:eastAsia="仿宋_GB2312"/>
          <w:sz w:val="32"/>
          <w:szCs w:val="32"/>
        </w:rPr>
        <w:t>。</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rPr>
        <w:t>5895.95</w:t>
      </w:r>
      <w:r>
        <w:rPr>
          <w:rFonts w:eastAsia="仿宋_GB2312"/>
          <w:sz w:val="32"/>
          <w:szCs w:val="32"/>
        </w:rPr>
        <w:t>万元，其中：财政拨款收入</w:t>
      </w:r>
      <w:r>
        <w:rPr>
          <w:rFonts w:hint="eastAsia" w:eastAsia="仿宋_GB2312"/>
          <w:sz w:val="32"/>
          <w:szCs w:val="32"/>
        </w:rPr>
        <w:t>5895.95</w:t>
      </w:r>
      <w:r>
        <w:rPr>
          <w:rFonts w:eastAsia="仿宋_GB2312"/>
          <w:sz w:val="32"/>
          <w:szCs w:val="32"/>
        </w:rPr>
        <w:t>万元，占</w:t>
      </w:r>
      <w:r>
        <w:rPr>
          <w:rFonts w:hint="eastAsia" w:eastAsia="仿宋_GB2312"/>
          <w:sz w:val="32"/>
          <w:szCs w:val="32"/>
        </w:rPr>
        <w:t>100</w:t>
      </w:r>
      <w:r>
        <w:rPr>
          <w:rFonts w:eastAsia="仿宋_GB2312"/>
          <w:sz w:val="32"/>
          <w:szCs w:val="32"/>
        </w:rPr>
        <w:t>%。</w:t>
      </w:r>
      <w:r>
        <w:rPr>
          <w:rFonts w:ascii="仿宋" w:hAnsi="仿宋" w:eastAsia="仿宋" w:cs="仿宋_GB2312"/>
          <w:sz w:val="32"/>
          <w:szCs w:val="32"/>
        </w:rPr>
        <w:t>事业收入</w:t>
      </w:r>
      <w:r>
        <w:rPr>
          <w:rFonts w:hint="eastAsia" w:ascii="仿宋" w:hAnsi="仿宋" w:eastAsia="仿宋" w:cs="仿宋_GB2312"/>
          <w:sz w:val="32"/>
          <w:szCs w:val="32"/>
        </w:rPr>
        <w:t>0</w:t>
      </w:r>
      <w:r>
        <w:rPr>
          <w:rFonts w:ascii="仿宋" w:hAnsi="仿宋" w:eastAsia="仿宋" w:cs="仿宋_GB2312"/>
          <w:sz w:val="32"/>
          <w:szCs w:val="32"/>
        </w:rPr>
        <w:t>万元，占</w:t>
      </w:r>
      <w:r>
        <w:rPr>
          <w:rFonts w:hint="eastAsia" w:ascii="仿宋" w:hAnsi="仿宋" w:eastAsia="仿宋" w:cs="仿宋_GB2312"/>
          <w:sz w:val="32"/>
          <w:szCs w:val="32"/>
        </w:rPr>
        <w:t>0</w:t>
      </w:r>
      <w:r>
        <w:rPr>
          <w:rFonts w:ascii="仿宋" w:hAnsi="仿宋" w:eastAsia="仿宋" w:cs="仿宋_GB2312"/>
          <w:sz w:val="32"/>
          <w:szCs w:val="32"/>
        </w:rPr>
        <w:t>%；经营收入</w:t>
      </w:r>
      <w:r>
        <w:rPr>
          <w:rFonts w:hint="eastAsia" w:ascii="仿宋" w:hAnsi="仿宋" w:eastAsia="仿宋" w:cs="仿宋_GB2312"/>
          <w:sz w:val="32"/>
          <w:szCs w:val="32"/>
        </w:rPr>
        <w:t>0</w:t>
      </w:r>
      <w:r>
        <w:rPr>
          <w:rFonts w:ascii="仿宋" w:hAnsi="仿宋" w:eastAsia="仿宋" w:cs="仿宋_GB2312"/>
          <w:sz w:val="32"/>
          <w:szCs w:val="32"/>
        </w:rPr>
        <w:t>万元，占</w:t>
      </w:r>
      <w:r>
        <w:rPr>
          <w:rFonts w:hint="eastAsia" w:ascii="仿宋" w:hAnsi="仿宋" w:eastAsia="仿宋" w:cs="仿宋_GB2312"/>
          <w:sz w:val="32"/>
          <w:szCs w:val="32"/>
        </w:rPr>
        <w:t>0</w:t>
      </w:r>
      <w:r>
        <w:rPr>
          <w:rFonts w:ascii="仿宋" w:hAnsi="仿宋" w:eastAsia="仿宋" w:cs="仿宋_GB2312"/>
          <w:sz w:val="32"/>
          <w:szCs w:val="32"/>
        </w:rPr>
        <w:t>%；其他收入</w:t>
      </w:r>
      <w:r>
        <w:rPr>
          <w:rFonts w:hint="eastAsia" w:ascii="仿宋" w:hAnsi="仿宋" w:eastAsia="仿宋" w:cs="仿宋_GB2312"/>
          <w:sz w:val="32"/>
          <w:szCs w:val="32"/>
        </w:rPr>
        <w:t>0</w:t>
      </w:r>
      <w:r>
        <w:rPr>
          <w:rFonts w:ascii="仿宋" w:hAnsi="仿宋" w:eastAsia="仿宋" w:cs="仿宋_GB2312"/>
          <w:sz w:val="32"/>
          <w:szCs w:val="32"/>
        </w:rPr>
        <w:t>万元，占</w:t>
      </w:r>
      <w:r>
        <w:rPr>
          <w:rFonts w:hint="eastAsia" w:ascii="仿宋" w:hAnsi="仿宋" w:eastAsia="仿宋" w:cs="仿宋_GB2312"/>
          <w:sz w:val="32"/>
          <w:szCs w:val="32"/>
        </w:rPr>
        <w:t>0</w:t>
      </w:r>
      <w:r>
        <w:rPr>
          <w:rFonts w:ascii="仿宋" w:hAnsi="仿宋" w:eastAsia="仿宋" w:cs="仿宋_GB2312"/>
          <w:sz w:val="32"/>
          <w:szCs w:val="32"/>
        </w:rPr>
        <w:t>%。</w:t>
      </w:r>
      <w:r>
        <w:rPr>
          <w:rFonts w:eastAsia="仿宋_GB2312"/>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drawing>
          <wp:anchor distT="0" distB="0" distL="114300" distR="114300" simplePos="0" relativeHeight="251658240" behindDoc="0" locked="0" layoutInCell="1" allowOverlap="1">
            <wp:simplePos x="0" y="0"/>
            <wp:positionH relativeFrom="column">
              <wp:posOffset>477520</wp:posOffset>
            </wp:positionH>
            <wp:positionV relativeFrom="paragraph">
              <wp:posOffset>701675</wp:posOffset>
            </wp:positionV>
            <wp:extent cx="4175125" cy="2744470"/>
            <wp:effectExtent l="4445" t="4445" r="11430" b="1333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eastAsia="仿宋_GB2312"/>
          <w:sz w:val="32"/>
          <w:szCs w:val="32"/>
        </w:rPr>
        <w:t>图1：收入决算结构饼状图</w:t>
      </w:r>
    </w:p>
    <w:p>
      <w:pPr>
        <w:jc w:val="left"/>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三、支出决算情况说明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本部门2017年度本年支出合计</w:t>
      </w:r>
      <w:r>
        <w:rPr>
          <w:rFonts w:hint="eastAsia" w:eastAsia="仿宋_GB2312"/>
          <w:sz w:val="32"/>
          <w:szCs w:val="32"/>
        </w:rPr>
        <w:t>5895.95</w:t>
      </w:r>
      <w:r>
        <w:rPr>
          <w:rFonts w:eastAsia="仿宋_GB2312"/>
          <w:sz w:val="32"/>
          <w:szCs w:val="32"/>
        </w:rPr>
        <w:t>万元，其中：基本支出</w:t>
      </w:r>
      <w:r>
        <w:rPr>
          <w:rFonts w:hint="eastAsia" w:eastAsia="仿宋_GB2312"/>
          <w:sz w:val="32"/>
          <w:szCs w:val="32"/>
        </w:rPr>
        <w:t>892.1</w:t>
      </w:r>
      <w:r>
        <w:rPr>
          <w:rFonts w:eastAsia="仿宋_GB2312"/>
          <w:sz w:val="32"/>
          <w:szCs w:val="32"/>
        </w:rPr>
        <w:t>万元，占</w:t>
      </w:r>
      <w:r>
        <w:rPr>
          <w:rFonts w:hint="eastAsia" w:eastAsia="仿宋_GB2312"/>
          <w:sz w:val="32"/>
          <w:szCs w:val="32"/>
        </w:rPr>
        <w:t>15</w:t>
      </w:r>
      <w:r>
        <w:rPr>
          <w:rFonts w:eastAsia="仿宋_GB2312"/>
          <w:sz w:val="32"/>
          <w:szCs w:val="32"/>
        </w:rPr>
        <w:t>%；项目支出</w:t>
      </w:r>
      <w:r>
        <w:rPr>
          <w:rFonts w:hint="eastAsia" w:eastAsia="仿宋_GB2312"/>
          <w:sz w:val="32"/>
          <w:szCs w:val="32"/>
        </w:rPr>
        <w:t>5003.85</w:t>
      </w:r>
      <w:r>
        <w:rPr>
          <w:rFonts w:eastAsia="仿宋_GB2312"/>
          <w:sz w:val="32"/>
          <w:szCs w:val="32"/>
        </w:rPr>
        <w:t>万元，占</w:t>
      </w:r>
      <w:r>
        <w:rPr>
          <w:rFonts w:hint="eastAsia" w:eastAsia="仿宋_GB2312"/>
          <w:sz w:val="32"/>
          <w:szCs w:val="32"/>
        </w:rPr>
        <w:t>85</w:t>
      </w:r>
      <w:r>
        <w:rPr>
          <w:rFonts w:eastAsia="仿宋_GB2312"/>
          <w:sz w:val="32"/>
          <w:szCs w:val="32"/>
        </w:rPr>
        <w:t>%；经营支出</w:t>
      </w:r>
      <w:r>
        <w:rPr>
          <w:rFonts w:hint="eastAsia" w:eastAsia="仿宋_GB2312"/>
          <w:sz w:val="32"/>
          <w:szCs w:val="32"/>
        </w:rPr>
        <w:t>0</w:t>
      </w:r>
      <w:r>
        <w:rPr>
          <w:rFonts w:eastAsia="仿宋_GB2312"/>
          <w:sz w:val="32"/>
          <w:szCs w:val="32"/>
        </w:rPr>
        <w:t>万元，占</w:t>
      </w:r>
      <w:r>
        <w:rPr>
          <w:rFonts w:hint="eastAsia" w:eastAsia="仿宋_GB2312"/>
          <w:sz w:val="32"/>
          <w:szCs w:val="32"/>
        </w:rPr>
        <w:t>0</w:t>
      </w:r>
      <w:r>
        <w:rPr>
          <w:rFonts w:eastAsia="仿宋_GB2312"/>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363220</wp:posOffset>
            </wp:positionH>
            <wp:positionV relativeFrom="paragraph">
              <wp:posOffset>196850</wp:posOffset>
            </wp:positionV>
            <wp:extent cx="4345940" cy="2600960"/>
            <wp:effectExtent l="19050" t="0" r="16510" b="889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四、财政拨款收入支出决算总体情况说明</w:t>
      </w:r>
    </w:p>
    <w:p>
      <w:pPr>
        <w:spacing w:line="584" w:lineRule="exact"/>
        <w:ind w:firstLine="640" w:firstLineChars="200"/>
        <w:rPr>
          <w:rFonts w:eastAsia="楷体_GB2312"/>
          <w:bCs/>
          <w:sz w:val="32"/>
          <w:szCs w:val="32"/>
        </w:rPr>
      </w:pPr>
      <w:r>
        <w:rPr>
          <w:rFonts w:eastAsia="楷体_GB2312"/>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5895.95</w:t>
      </w:r>
      <w:r>
        <w:rPr>
          <w:rFonts w:eastAsia="仿宋_GB2312"/>
          <w:sz w:val="32"/>
          <w:szCs w:val="32"/>
        </w:rPr>
        <w:t>万元；本年支出</w:t>
      </w:r>
      <w:r>
        <w:rPr>
          <w:rFonts w:hint="eastAsia" w:eastAsia="仿宋_GB2312"/>
          <w:sz w:val="32"/>
          <w:szCs w:val="32"/>
        </w:rPr>
        <w:t>5895.95</w:t>
      </w:r>
      <w:r>
        <w:rPr>
          <w:rFonts w:eastAsia="仿宋_GB2312"/>
          <w:sz w:val="32"/>
          <w:szCs w:val="32"/>
        </w:rPr>
        <w:t>万元、年末结转和结余</w:t>
      </w:r>
      <w:r>
        <w:rPr>
          <w:rFonts w:hint="eastAsia" w:eastAsia="仿宋_GB2312"/>
          <w:sz w:val="32"/>
          <w:szCs w:val="32"/>
        </w:rPr>
        <w:t>0</w:t>
      </w:r>
      <w:r>
        <w:rPr>
          <w:rFonts w:eastAsia="仿宋_GB2312"/>
          <w:sz w:val="32"/>
          <w:szCs w:val="32"/>
        </w:rPr>
        <w:t>万元。与2016年度决算相比，财政拨款本年收入增加</w:t>
      </w:r>
      <w:r>
        <w:rPr>
          <w:rFonts w:hint="eastAsia" w:eastAsia="仿宋_GB2312"/>
          <w:sz w:val="32"/>
          <w:szCs w:val="32"/>
        </w:rPr>
        <w:t>4063.88</w:t>
      </w:r>
      <w:r>
        <w:rPr>
          <w:rFonts w:eastAsia="仿宋_GB2312"/>
          <w:sz w:val="32"/>
          <w:szCs w:val="32"/>
        </w:rPr>
        <w:t>万元，增长</w:t>
      </w:r>
      <w:r>
        <w:rPr>
          <w:rFonts w:hint="eastAsia" w:eastAsia="仿宋_GB2312"/>
          <w:sz w:val="32"/>
          <w:szCs w:val="32"/>
        </w:rPr>
        <w:t>221.82</w:t>
      </w:r>
      <w:r>
        <w:rPr>
          <w:rFonts w:eastAsia="仿宋_GB2312"/>
          <w:sz w:val="32"/>
          <w:szCs w:val="32"/>
        </w:rPr>
        <w:t>%，主要原因是</w:t>
      </w:r>
      <w:r>
        <w:rPr>
          <w:rFonts w:hint="eastAsia" w:ascii="仿宋" w:hAnsi="仿宋" w:eastAsia="仿宋" w:cs="仿宋_GB2312"/>
          <w:sz w:val="32"/>
          <w:szCs w:val="32"/>
        </w:rPr>
        <w:t>人员经费增加、环保支出增加、农村环境保护支出增加、对村民委员会和党支部补助支出增加、农村综合改革示范试点补助支出增加等</w:t>
      </w:r>
      <w:r>
        <w:rPr>
          <w:rFonts w:eastAsia="仿宋_GB2312"/>
          <w:sz w:val="32"/>
          <w:szCs w:val="32"/>
        </w:rPr>
        <w:t>；本年支出增加</w:t>
      </w:r>
      <w:r>
        <w:rPr>
          <w:rFonts w:hint="eastAsia" w:eastAsia="仿宋_GB2312"/>
          <w:sz w:val="32"/>
          <w:szCs w:val="32"/>
        </w:rPr>
        <w:t>4063.88</w:t>
      </w:r>
      <w:r>
        <w:rPr>
          <w:rFonts w:eastAsia="仿宋_GB2312"/>
          <w:sz w:val="32"/>
          <w:szCs w:val="32"/>
        </w:rPr>
        <w:t>万元，增长</w:t>
      </w:r>
      <w:r>
        <w:rPr>
          <w:rFonts w:hint="eastAsia" w:eastAsia="仿宋_GB2312"/>
          <w:sz w:val="32"/>
          <w:szCs w:val="32"/>
        </w:rPr>
        <w:t>221.82</w:t>
      </w:r>
      <w:r>
        <w:rPr>
          <w:rFonts w:eastAsia="仿宋_GB2312"/>
          <w:sz w:val="32"/>
          <w:szCs w:val="32"/>
        </w:rPr>
        <w:t>%，主要是原因是</w:t>
      </w:r>
      <w:r>
        <w:rPr>
          <w:rFonts w:hint="eastAsia" w:ascii="仿宋" w:hAnsi="仿宋" w:eastAsia="仿宋" w:cs="仿宋_GB2312"/>
          <w:sz w:val="32"/>
          <w:szCs w:val="32"/>
        </w:rPr>
        <w:t>人员经费增加、环保支出增加、农村环境保护支出增加、对村民委员会和党支部补助支出增加、农村综合改革示范试点补助支出增加等</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其中，一般公共预算财政拨款年初结转和结余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1579.85</w:t>
      </w:r>
      <w:r>
        <w:rPr>
          <w:rFonts w:eastAsia="仿宋_GB2312"/>
          <w:sz w:val="32"/>
          <w:szCs w:val="32"/>
        </w:rPr>
        <w:t>万元；本年支出</w:t>
      </w:r>
      <w:r>
        <w:rPr>
          <w:rFonts w:hint="eastAsia" w:eastAsia="仿宋_GB2312"/>
          <w:sz w:val="32"/>
          <w:szCs w:val="32"/>
        </w:rPr>
        <w:t>1579.85</w:t>
      </w:r>
      <w:r>
        <w:rPr>
          <w:rFonts w:eastAsia="仿宋_GB2312"/>
          <w:sz w:val="32"/>
          <w:szCs w:val="32"/>
        </w:rPr>
        <w:t>万元、年末结转和结余</w:t>
      </w:r>
      <w:r>
        <w:rPr>
          <w:rFonts w:hint="eastAsia" w:eastAsia="仿宋_GB2312"/>
          <w:sz w:val="32"/>
          <w:szCs w:val="32"/>
        </w:rPr>
        <w:t>0</w:t>
      </w:r>
      <w:r>
        <w:rPr>
          <w:rFonts w:eastAsia="仿宋_GB2312"/>
          <w:sz w:val="32"/>
          <w:szCs w:val="32"/>
        </w:rPr>
        <w:t>万元。与2016年度决算相比，一般公共预算财政拨款本年收入增加</w:t>
      </w:r>
      <w:r>
        <w:rPr>
          <w:rFonts w:hint="eastAsia" w:eastAsia="仿宋_GB2312"/>
          <w:sz w:val="32"/>
          <w:szCs w:val="32"/>
        </w:rPr>
        <w:t>252.21</w:t>
      </w:r>
      <w:r>
        <w:rPr>
          <w:rFonts w:eastAsia="仿宋_GB2312"/>
          <w:sz w:val="32"/>
          <w:szCs w:val="32"/>
        </w:rPr>
        <w:t>元，增长</w:t>
      </w:r>
      <w:r>
        <w:rPr>
          <w:rFonts w:hint="eastAsia" w:eastAsia="仿宋_GB2312"/>
          <w:sz w:val="32"/>
          <w:szCs w:val="32"/>
        </w:rPr>
        <w:t>13.76</w:t>
      </w:r>
      <w:r>
        <w:rPr>
          <w:rFonts w:eastAsia="仿宋_GB2312"/>
          <w:sz w:val="32"/>
          <w:szCs w:val="32"/>
        </w:rPr>
        <w:t>%，主要原因是</w:t>
      </w:r>
      <w:r>
        <w:rPr>
          <w:rFonts w:hint="eastAsia" w:ascii="仿宋" w:hAnsi="仿宋" w:eastAsia="仿宋" w:cs="仿宋_GB2312"/>
          <w:sz w:val="32"/>
          <w:szCs w:val="32"/>
        </w:rPr>
        <w:t>节能环保支出增加和社会保障与就业支出增加</w:t>
      </w:r>
      <w:r>
        <w:rPr>
          <w:rFonts w:eastAsia="仿宋_GB2312"/>
          <w:sz w:val="32"/>
          <w:szCs w:val="32"/>
        </w:rPr>
        <w:t>；本年支出增加</w:t>
      </w:r>
      <w:r>
        <w:rPr>
          <w:rFonts w:hint="eastAsia" w:eastAsia="仿宋_GB2312"/>
          <w:sz w:val="32"/>
          <w:szCs w:val="32"/>
        </w:rPr>
        <w:t>252.21</w:t>
      </w:r>
      <w:r>
        <w:rPr>
          <w:rFonts w:eastAsia="仿宋_GB2312"/>
          <w:sz w:val="32"/>
          <w:szCs w:val="32"/>
        </w:rPr>
        <w:t>万元，增长</w:t>
      </w:r>
      <w:r>
        <w:rPr>
          <w:rFonts w:hint="eastAsia" w:eastAsia="仿宋_GB2312"/>
          <w:sz w:val="32"/>
          <w:szCs w:val="32"/>
        </w:rPr>
        <w:t>13.76</w:t>
      </w:r>
      <w:r>
        <w:rPr>
          <w:rFonts w:eastAsia="仿宋_GB2312"/>
          <w:sz w:val="32"/>
          <w:szCs w:val="32"/>
        </w:rPr>
        <w:t>%，主要原因是</w:t>
      </w:r>
      <w:r>
        <w:rPr>
          <w:rFonts w:hint="eastAsia" w:ascii="仿宋" w:hAnsi="仿宋" w:eastAsia="仿宋" w:cs="仿宋_GB2312"/>
          <w:sz w:val="32"/>
          <w:szCs w:val="32"/>
        </w:rPr>
        <w:t>节能环保支出增加和社会保障与就业支出增加</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政府性基金预算财政拨款年初结转和结余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4316.1</w:t>
      </w:r>
      <w:r>
        <w:rPr>
          <w:rFonts w:eastAsia="仿宋_GB2312"/>
          <w:sz w:val="32"/>
          <w:szCs w:val="32"/>
        </w:rPr>
        <w:t>万元；本年支出</w:t>
      </w:r>
      <w:r>
        <w:rPr>
          <w:rFonts w:hint="eastAsia" w:eastAsia="仿宋_GB2312"/>
          <w:sz w:val="32"/>
          <w:szCs w:val="32"/>
        </w:rPr>
        <w:t>4316.1</w:t>
      </w:r>
      <w:r>
        <w:rPr>
          <w:rFonts w:eastAsia="仿宋_GB2312"/>
          <w:sz w:val="32"/>
          <w:szCs w:val="32"/>
        </w:rPr>
        <w:t>万元、年末结转和结余</w:t>
      </w:r>
      <w:r>
        <w:rPr>
          <w:rFonts w:hint="eastAsia" w:eastAsia="仿宋_GB2312"/>
          <w:sz w:val="32"/>
          <w:szCs w:val="32"/>
        </w:rPr>
        <w:t>0</w:t>
      </w:r>
      <w:r>
        <w:rPr>
          <w:rFonts w:eastAsia="仿宋_GB2312"/>
          <w:sz w:val="32"/>
          <w:szCs w:val="32"/>
        </w:rPr>
        <w:t>万元。与2016年度决算相比，政府性基金预算财政拨款本年收入增加</w:t>
      </w:r>
      <w:r>
        <w:rPr>
          <w:rFonts w:hint="eastAsia" w:eastAsia="仿宋_GB2312"/>
          <w:sz w:val="32"/>
          <w:szCs w:val="32"/>
        </w:rPr>
        <w:t>4316.1</w:t>
      </w:r>
      <w:r>
        <w:rPr>
          <w:rFonts w:eastAsia="仿宋_GB2312"/>
          <w:sz w:val="32"/>
          <w:szCs w:val="32"/>
        </w:rPr>
        <w:t>万元，主要原因是</w:t>
      </w:r>
      <w:r>
        <w:rPr>
          <w:rFonts w:hint="eastAsia" w:ascii="仿宋" w:hAnsi="仿宋" w:eastAsia="仿宋" w:cs="仿宋_GB2312"/>
          <w:sz w:val="32"/>
          <w:szCs w:val="32"/>
        </w:rPr>
        <w:t>环保压力增大，企业拆迁补偿支出增加</w:t>
      </w:r>
      <w:r>
        <w:rPr>
          <w:rFonts w:eastAsia="仿宋_GB2312"/>
          <w:sz w:val="32"/>
          <w:szCs w:val="32"/>
        </w:rPr>
        <w:t>；本年支出增加</w:t>
      </w:r>
      <w:r>
        <w:rPr>
          <w:rFonts w:hint="eastAsia" w:eastAsia="仿宋_GB2312"/>
          <w:sz w:val="32"/>
          <w:szCs w:val="32"/>
        </w:rPr>
        <w:t>4316.1</w:t>
      </w:r>
      <w:r>
        <w:rPr>
          <w:rFonts w:eastAsia="仿宋_GB2312"/>
          <w:sz w:val="32"/>
          <w:szCs w:val="32"/>
        </w:rPr>
        <w:t>万元，主要原因是</w:t>
      </w:r>
      <w:r>
        <w:rPr>
          <w:rFonts w:hint="eastAsia" w:ascii="仿宋" w:hAnsi="仿宋" w:eastAsia="仿宋" w:cs="仿宋_GB2312"/>
          <w:sz w:val="32"/>
          <w:szCs w:val="32"/>
        </w:rPr>
        <w:t>环保压力增大，企业拆迁补偿支出增加</w:t>
      </w:r>
      <w:r>
        <w:rPr>
          <w:rFonts w:eastAsia="仿宋_GB2312"/>
          <w:sz w:val="32"/>
          <w:szCs w:val="32"/>
        </w:rPr>
        <w:t>。</w:t>
      </w:r>
    </w:p>
    <w:p>
      <w:pPr>
        <w:spacing w:line="584" w:lineRule="exact"/>
        <w:ind w:firstLine="640" w:firstLineChars="200"/>
        <w:rPr>
          <w:rFonts w:eastAsia="楷体_GB2312"/>
          <w:bCs/>
          <w:sz w:val="32"/>
          <w:szCs w:val="32"/>
        </w:rPr>
      </w:pPr>
      <w:r>
        <w:rPr>
          <w:rFonts w:eastAsia="楷体_GB2312"/>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本部门2017年度财政拨款本年收入较2017年初预算增加</w:t>
      </w:r>
      <w:r>
        <w:rPr>
          <w:rFonts w:hint="eastAsia" w:eastAsia="仿宋_GB2312"/>
          <w:sz w:val="32"/>
          <w:szCs w:val="32"/>
        </w:rPr>
        <w:t>4577.02</w:t>
      </w:r>
      <w:r>
        <w:rPr>
          <w:rFonts w:eastAsia="仿宋_GB2312"/>
          <w:sz w:val="32"/>
          <w:szCs w:val="32"/>
        </w:rPr>
        <w:t>万元，增长</w:t>
      </w:r>
      <w:r>
        <w:rPr>
          <w:rFonts w:hint="eastAsia" w:eastAsia="仿宋_GB2312"/>
          <w:sz w:val="32"/>
          <w:szCs w:val="32"/>
        </w:rPr>
        <w:t>347.03</w:t>
      </w:r>
      <w:r>
        <w:rPr>
          <w:rFonts w:eastAsia="仿宋_GB2312"/>
          <w:sz w:val="32"/>
          <w:szCs w:val="32"/>
        </w:rPr>
        <w:t>%，主要原因是</w:t>
      </w:r>
      <w:r>
        <w:rPr>
          <w:rFonts w:hint="eastAsia" w:ascii="仿宋" w:hAnsi="仿宋" w:eastAsia="仿宋" w:cs="仿宋_GB2312"/>
          <w:sz w:val="32"/>
          <w:szCs w:val="32"/>
        </w:rPr>
        <w:t>人员经费增加、环保支出增加、农村环境保护支出增加、对村民委员会和党支部补助支出增加、农村综合改革示范试点补助支出增加等</w:t>
      </w:r>
      <w:r>
        <w:rPr>
          <w:rFonts w:eastAsia="仿宋_GB2312"/>
          <w:sz w:val="32"/>
          <w:szCs w:val="32"/>
        </w:rPr>
        <w:t>；本年支出增加</w:t>
      </w:r>
      <w:r>
        <w:rPr>
          <w:rFonts w:hint="eastAsia" w:eastAsia="仿宋_GB2312"/>
          <w:sz w:val="32"/>
          <w:szCs w:val="32"/>
        </w:rPr>
        <w:t>4577.02</w:t>
      </w:r>
      <w:r>
        <w:rPr>
          <w:rFonts w:eastAsia="仿宋_GB2312"/>
          <w:sz w:val="32"/>
          <w:szCs w:val="32"/>
        </w:rPr>
        <w:t>万元，增长</w:t>
      </w:r>
      <w:r>
        <w:rPr>
          <w:rFonts w:hint="eastAsia" w:eastAsia="仿宋_GB2312"/>
          <w:sz w:val="32"/>
          <w:szCs w:val="32"/>
        </w:rPr>
        <w:t>347.03</w:t>
      </w:r>
      <w:r>
        <w:rPr>
          <w:rFonts w:eastAsia="仿宋_GB2312"/>
          <w:sz w:val="32"/>
          <w:szCs w:val="32"/>
        </w:rPr>
        <w:t>%，主要原因是</w:t>
      </w:r>
      <w:r>
        <w:rPr>
          <w:rFonts w:hint="eastAsia" w:ascii="仿宋" w:hAnsi="仿宋" w:eastAsia="仿宋" w:cs="仿宋_GB2312"/>
          <w:sz w:val="32"/>
          <w:szCs w:val="32"/>
        </w:rPr>
        <w:t>人员经费增加、环保支出增加、农村环境保护支出增加、对村民委员会和党支部补助支出增加、农村综合改革示范试点补助支出增加等</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其中，本部门2017年度一般公共预算财政拨款本年收入较2017年初预算增加</w:t>
      </w:r>
      <w:r>
        <w:rPr>
          <w:rFonts w:hint="eastAsia" w:eastAsia="仿宋_GB2312"/>
          <w:sz w:val="32"/>
          <w:szCs w:val="32"/>
        </w:rPr>
        <w:t>900.92</w:t>
      </w:r>
      <w:r>
        <w:rPr>
          <w:rFonts w:eastAsia="仿宋_GB2312"/>
          <w:sz w:val="32"/>
          <w:szCs w:val="32"/>
        </w:rPr>
        <w:t>万元，增长</w:t>
      </w:r>
      <w:r>
        <w:rPr>
          <w:rFonts w:hint="eastAsia" w:eastAsia="仿宋_GB2312"/>
          <w:sz w:val="32"/>
          <w:szCs w:val="32"/>
        </w:rPr>
        <w:t>132.7</w:t>
      </w:r>
      <w:r>
        <w:rPr>
          <w:rFonts w:eastAsia="仿宋_GB2312"/>
          <w:sz w:val="32"/>
          <w:szCs w:val="32"/>
        </w:rPr>
        <w:t>%，主要原因是</w:t>
      </w:r>
      <w:r>
        <w:rPr>
          <w:rFonts w:hint="eastAsia" w:ascii="仿宋" w:hAnsi="仿宋" w:eastAsia="仿宋" w:cs="仿宋_GB2312"/>
          <w:sz w:val="32"/>
          <w:szCs w:val="32"/>
        </w:rPr>
        <w:t>一般公共服务支出增加、节能环保支出增加和农林水支出增加等</w:t>
      </w:r>
      <w:r>
        <w:rPr>
          <w:rFonts w:eastAsia="仿宋_GB2312"/>
          <w:sz w:val="32"/>
          <w:szCs w:val="32"/>
        </w:rPr>
        <w:t>；本年支出增加</w:t>
      </w:r>
      <w:r>
        <w:rPr>
          <w:rFonts w:hint="eastAsia" w:eastAsia="仿宋_GB2312"/>
          <w:sz w:val="32"/>
          <w:szCs w:val="32"/>
        </w:rPr>
        <w:t>900.92</w:t>
      </w:r>
      <w:r>
        <w:rPr>
          <w:rFonts w:eastAsia="仿宋_GB2312"/>
          <w:sz w:val="32"/>
          <w:szCs w:val="32"/>
        </w:rPr>
        <w:t>万元，增长</w:t>
      </w:r>
      <w:r>
        <w:rPr>
          <w:rFonts w:hint="eastAsia" w:eastAsia="仿宋_GB2312"/>
          <w:sz w:val="32"/>
          <w:szCs w:val="32"/>
        </w:rPr>
        <w:t>132.7</w:t>
      </w:r>
      <w:r>
        <w:rPr>
          <w:rFonts w:eastAsia="仿宋_GB2312"/>
          <w:sz w:val="32"/>
          <w:szCs w:val="32"/>
        </w:rPr>
        <w:t>%，主要原因是</w:t>
      </w:r>
      <w:r>
        <w:rPr>
          <w:rFonts w:hint="eastAsia" w:ascii="仿宋" w:hAnsi="仿宋" w:eastAsia="仿宋" w:cs="仿宋_GB2312"/>
          <w:sz w:val="32"/>
          <w:szCs w:val="32"/>
        </w:rPr>
        <w:t>一般公共服务支出增加、节能环保支出增加和农林水支出增加等</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本部门2017年度政府性基金预算财政拨款本年收入较2017年初预算增加</w:t>
      </w:r>
      <w:r>
        <w:rPr>
          <w:rFonts w:hint="eastAsia" w:eastAsia="仿宋_GB2312"/>
          <w:sz w:val="32"/>
          <w:szCs w:val="32"/>
        </w:rPr>
        <w:t>3676.1</w:t>
      </w:r>
      <w:r>
        <w:rPr>
          <w:rFonts w:eastAsia="仿宋_GB2312"/>
          <w:sz w:val="32"/>
          <w:szCs w:val="32"/>
        </w:rPr>
        <w:t>万元，增长</w:t>
      </w:r>
      <w:r>
        <w:rPr>
          <w:rFonts w:hint="eastAsia" w:eastAsia="仿宋_GB2312"/>
          <w:sz w:val="32"/>
          <w:szCs w:val="32"/>
        </w:rPr>
        <w:t>574.39</w:t>
      </w:r>
      <w:r>
        <w:rPr>
          <w:rFonts w:eastAsia="仿宋_GB2312"/>
          <w:sz w:val="32"/>
          <w:szCs w:val="32"/>
        </w:rPr>
        <w:t>%，主要原因是</w:t>
      </w:r>
      <w:r>
        <w:rPr>
          <w:rFonts w:hint="eastAsia" w:ascii="仿宋" w:hAnsi="仿宋" w:eastAsia="仿宋" w:cs="仿宋_GB2312"/>
          <w:sz w:val="32"/>
          <w:szCs w:val="32"/>
        </w:rPr>
        <w:t>环保压力增大，企业拆迁补偿支出增加</w:t>
      </w:r>
      <w:r>
        <w:rPr>
          <w:rFonts w:eastAsia="仿宋_GB2312"/>
          <w:sz w:val="32"/>
          <w:szCs w:val="32"/>
        </w:rPr>
        <w:t>；本年支出增加</w:t>
      </w:r>
      <w:r>
        <w:rPr>
          <w:rFonts w:hint="eastAsia" w:eastAsia="仿宋_GB2312"/>
          <w:sz w:val="32"/>
          <w:szCs w:val="32"/>
        </w:rPr>
        <w:t>3676.1</w:t>
      </w:r>
      <w:r>
        <w:rPr>
          <w:rFonts w:eastAsia="仿宋_GB2312"/>
          <w:sz w:val="32"/>
          <w:szCs w:val="32"/>
        </w:rPr>
        <w:t>万元，增长</w:t>
      </w:r>
      <w:r>
        <w:rPr>
          <w:rFonts w:hint="eastAsia" w:eastAsia="仿宋_GB2312"/>
          <w:sz w:val="32"/>
          <w:szCs w:val="32"/>
        </w:rPr>
        <w:t>574.39</w:t>
      </w:r>
      <w:r>
        <w:rPr>
          <w:rFonts w:eastAsia="仿宋_GB2312"/>
          <w:sz w:val="32"/>
          <w:szCs w:val="32"/>
        </w:rPr>
        <w:t>%，主要原因是</w:t>
      </w:r>
      <w:r>
        <w:rPr>
          <w:rFonts w:hint="eastAsia" w:ascii="仿宋" w:hAnsi="仿宋" w:eastAsia="仿宋" w:cs="仿宋_GB2312"/>
          <w:sz w:val="32"/>
          <w:szCs w:val="32"/>
        </w:rPr>
        <w:t>环保压力增大，企业拆迁补偿支出增加</w:t>
      </w:r>
      <w:r>
        <w:rPr>
          <w:rFonts w:eastAsia="仿宋_GB2312"/>
          <w:sz w:val="32"/>
          <w:szCs w:val="32"/>
        </w:rPr>
        <w:t>。</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rPr>
        <w:t>2.9</w:t>
      </w:r>
      <w:r>
        <w:rPr>
          <w:rFonts w:eastAsia="仿宋_GB2312"/>
          <w:sz w:val="32"/>
          <w:szCs w:val="32"/>
        </w:rPr>
        <w:t>万元，较年初预算减少</w:t>
      </w:r>
      <w:r>
        <w:rPr>
          <w:rFonts w:hint="eastAsia" w:eastAsia="仿宋_GB2312"/>
          <w:sz w:val="32"/>
          <w:szCs w:val="32"/>
        </w:rPr>
        <w:t>2.32</w:t>
      </w:r>
      <w:r>
        <w:rPr>
          <w:rFonts w:eastAsia="仿宋_GB2312"/>
          <w:sz w:val="32"/>
          <w:szCs w:val="32"/>
        </w:rPr>
        <w:t>万元，降低</w:t>
      </w:r>
      <w:r>
        <w:rPr>
          <w:rFonts w:hint="eastAsia" w:eastAsia="仿宋_GB2312"/>
          <w:sz w:val="32"/>
          <w:szCs w:val="32"/>
        </w:rPr>
        <w:t>44.44</w:t>
      </w:r>
      <w:r>
        <w:rPr>
          <w:rFonts w:eastAsia="仿宋_GB2312"/>
          <w:sz w:val="32"/>
          <w:szCs w:val="32"/>
        </w:rPr>
        <w:t>%，主要原因是</w:t>
      </w:r>
      <w:r>
        <w:rPr>
          <w:rFonts w:hint="eastAsia" w:ascii="仿宋" w:hAnsi="仿宋" w:eastAsia="仿宋" w:cs="仿宋_GB2312"/>
          <w:sz w:val="32"/>
          <w:szCs w:val="32"/>
        </w:rPr>
        <w:t>我部门厉行节约，控制公车运行费用的支出</w:t>
      </w:r>
      <w:r>
        <w:rPr>
          <w:rFonts w:eastAsia="仿宋_GB2312"/>
          <w:sz w:val="32"/>
          <w:szCs w:val="32"/>
        </w:rPr>
        <w:t>；较2016年度决算减少</w:t>
      </w:r>
      <w:r>
        <w:rPr>
          <w:rFonts w:hint="eastAsia" w:eastAsia="仿宋_GB2312"/>
          <w:sz w:val="32"/>
          <w:szCs w:val="32"/>
        </w:rPr>
        <w:t>0.9</w:t>
      </w:r>
      <w:r>
        <w:rPr>
          <w:rFonts w:eastAsia="仿宋_GB2312"/>
          <w:sz w:val="32"/>
          <w:szCs w:val="32"/>
        </w:rPr>
        <w:t>万元，降低</w:t>
      </w:r>
      <w:r>
        <w:rPr>
          <w:rFonts w:hint="eastAsia" w:eastAsia="仿宋_GB2312"/>
          <w:sz w:val="32"/>
          <w:szCs w:val="32"/>
        </w:rPr>
        <w:t>23.68</w:t>
      </w:r>
      <w:r>
        <w:rPr>
          <w:rFonts w:eastAsia="仿宋_GB2312"/>
          <w:sz w:val="32"/>
          <w:szCs w:val="32"/>
        </w:rPr>
        <w:t>%，主要原因是</w:t>
      </w:r>
      <w:r>
        <w:rPr>
          <w:rFonts w:hint="eastAsia" w:ascii="仿宋" w:hAnsi="仿宋" w:eastAsia="仿宋" w:cs="仿宋_GB2312"/>
          <w:sz w:val="32"/>
          <w:szCs w:val="32"/>
        </w:rPr>
        <w:t>我部门厉行节约，控制公车运行费用的支出</w:t>
      </w:r>
      <w:r>
        <w:rPr>
          <w:rFonts w:eastAsia="仿宋_GB2312"/>
          <w:sz w:val="32"/>
          <w:szCs w:val="32"/>
        </w:rPr>
        <w:t>。具体情况如下：</w:t>
      </w:r>
    </w:p>
    <w:p>
      <w:pPr>
        <w:adjustRightInd w:val="0"/>
        <w:snapToGrid w:val="0"/>
        <w:spacing w:line="584" w:lineRule="exact"/>
        <w:ind w:firstLine="640" w:firstLineChars="200"/>
        <w:rPr>
          <w:rFonts w:ascii="仿宋" w:hAnsi="仿宋" w:eastAsia="仿宋" w:cs="仿宋_GB2312"/>
          <w:sz w:val="32"/>
          <w:szCs w:val="32"/>
        </w:rPr>
      </w:pPr>
      <w:r>
        <w:rPr>
          <w:rFonts w:eastAsia="楷体_GB2312"/>
          <w:bCs/>
          <w:sz w:val="32"/>
          <w:szCs w:val="32"/>
        </w:rPr>
        <w:t>（一）因公出国（境）费支出</w:t>
      </w:r>
      <w:r>
        <w:rPr>
          <w:rFonts w:hint="eastAsia" w:eastAsia="楷体_GB2312"/>
          <w:bCs/>
          <w:sz w:val="32"/>
          <w:szCs w:val="32"/>
        </w:rPr>
        <w:t>0</w:t>
      </w:r>
      <w:r>
        <w:rPr>
          <w:rFonts w:eastAsia="楷体_GB2312"/>
          <w:bCs/>
          <w:sz w:val="32"/>
          <w:szCs w:val="32"/>
        </w:rPr>
        <w:t>万元。本</w:t>
      </w:r>
      <w:r>
        <w:rPr>
          <w:rFonts w:eastAsia="仿宋_GB2312"/>
          <w:sz w:val="32"/>
          <w:szCs w:val="32"/>
        </w:rPr>
        <w:t>部门2017年度因公出国（境）团组</w:t>
      </w:r>
      <w:r>
        <w:rPr>
          <w:rFonts w:hint="eastAsia" w:eastAsia="仿宋_GB2312"/>
          <w:sz w:val="32"/>
          <w:szCs w:val="32"/>
        </w:rPr>
        <w:t>0</w:t>
      </w:r>
      <w:r>
        <w:rPr>
          <w:rFonts w:eastAsia="仿宋_GB2312"/>
          <w:sz w:val="32"/>
          <w:szCs w:val="32"/>
        </w:rPr>
        <w:t xml:space="preserve"> 个，因公出国（境）人次数</w:t>
      </w:r>
      <w:r>
        <w:rPr>
          <w:rFonts w:hint="eastAsia" w:eastAsia="仿宋_GB2312"/>
          <w:sz w:val="32"/>
          <w:szCs w:val="32"/>
        </w:rPr>
        <w:t>0</w:t>
      </w:r>
      <w:r>
        <w:rPr>
          <w:rFonts w:eastAsia="仿宋_GB2312"/>
          <w:sz w:val="32"/>
          <w:szCs w:val="32"/>
        </w:rPr>
        <w:t>人。</w:t>
      </w:r>
      <w:r>
        <w:rPr>
          <w:rFonts w:ascii="仿宋" w:hAnsi="仿宋" w:eastAsia="仿宋" w:cs="仿宋_GB2312"/>
          <w:sz w:val="32"/>
          <w:szCs w:val="32"/>
        </w:rPr>
        <w:t>因公出国（境）费支出较年初预算</w:t>
      </w:r>
      <w:r>
        <w:rPr>
          <w:rFonts w:hint="eastAsia" w:ascii="仿宋" w:hAnsi="仿宋" w:eastAsia="仿宋" w:cs="仿宋_GB2312"/>
          <w:sz w:val="32"/>
          <w:szCs w:val="32"/>
        </w:rPr>
        <w:t>无增减变化</w:t>
      </w:r>
      <w:r>
        <w:rPr>
          <w:rFonts w:eastAsia="仿宋_GB2312"/>
          <w:sz w:val="32"/>
          <w:szCs w:val="32"/>
        </w:rPr>
        <w:t>；</w:t>
      </w:r>
      <w:r>
        <w:rPr>
          <w:rFonts w:ascii="仿宋" w:hAnsi="仿宋" w:eastAsia="仿宋" w:cs="仿宋_GB2312"/>
          <w:sz w:val="32"/>
          <w:szCs w:val="32"/>
        </w:rPr>
        <w:t>较2016年度决算</w:t>
      </w:r>
      <w:r>
        <w:rPr>
          <w:rFonts w:hint="eastAsia" w:ascii="仿宋" w:hAnsi="仿宋" w:eastAsia="仿宋" w:cs="仿宋_GB2312"/>
          <w:sz w:val="32"/>
          <w:szCs w:val="32"/>
        </w:rPr>
        <w:t>无增减变化</w:t>
      </w:r>
      <w:r>
        <w:rPr>
          <w:rFonts w:ascii="仿宋" w:hAnsi="仿宋" w:eastAsia="仿宋" w:cs="仿宋_GB2312"/>
          <w:sz w:val="32"/>
          <w:szCs w:val="32"/>
        </w:rPr>
        <w:t>。</w:t>
      </w:r>
    </w:p>
    <w:p>
      <w:pPr>
        <w:spacing w:line="584" w:lineRule="exact"/>
        <w:ind w:firstLine="640" w:firstLineChars="200"/>
        <w:rPr>
          <w:rFonts w:eastAsia="楷体_GB2312"/>
          <w:bCs/>
          <w:sz w:val="32"/>
          <w:szCs w:val="32"/>
        </w:rPr>
      </w:pPr>
      <w:r>
        <w:rPr>
          <w:rFonts w:eastAsia="楷体_GB2312"/>
          <w:bCs/>
          <w:sz w:val="32"/>
          <w:szCs w:val="32"/>
        </w:rPr>
        <w:t>（二）公务用车购置及运行维护费支出</w:t>
      </w:r>
      <w:r>
        <w:rPr>
          <w:rFonts w:hint="eastAsia" w:eastAsia="楷体_GB2312"/>
          <w:bCs/>
          <w:sz w:val="32"/>
          <w:szCs w:val="32"/>
        </w:rPr>
        <w:t>2.9</w:t>
      </w:r>
      <w:r>
        <w:rPr>
          <w:rFonts w:eastAsia="楷体_GB2312"/>
          <w:bCs/>
          <w:sz w:val="32"/>
          <w:szCs w:val="32"/>
        </w:rPr>
        <w:t>万元。其中：</w:t>
      </w:r>
    </w:p>
    <w:p>
      <w:pPr>
        <w:adjustRightInd w:val="0"/>
        <w:snapToGrid w:val="0"/>
        <w:spacing w:line="584" w:lineRule="exact"/>
        <w:ind w:firstLine="640" w:firstLineChars="200"/>
        <w:rPr>
          <w:rFonts w:ascii="仿宋" w:hAnsi="仿宋" w:eastAsia="仿宋" w:cs="仿宋_GB2312"/>
          <w:sz w:val="32"/>
          <w:szCs w:val="32"/>
        </w:rPr>
      </w:pPr>
      <w:r>
        <w:rPr>
          <w:rFonts w:eastAsia="楷体_GB2312"/>
          <w:bCs/>
          <w:sz w:val="32"/>
          <w:szCs w:val="32"/>
        </w:rPr>
        <w:t>公务用车购置费支出</w:t>
      </w:r>
      <w:r>
        <w:rPr>
          <w:rFonts w:hint="eastAsia" w:eastAsia="楷体_GB2312"/>
          <w:bCs/>
          <w:sz w:val="32"/>
          <w:szCs w:val="32"/>
        </w:rPr>
        <w:t>0</w:t>
      </w:r>
      <w:r>
        <w:rPr>
          <w:rFonts w:eastAsia="楷体_GB2312"/>
          <w:bCs/>
          <w:sz w:val="32"/>
          <w:szCs w:val="32"/>
        </w:rPr>
        <w:t>万元</w:t>
      </w:r>
      <w:r>
        <w:rPr>
          <w:rFonts w:eastAsia="仿宋_GB2312"/>
          <w:b/>
          <w:sz w:val="32"/>
          <w:szCs w:val="32"/>
        </w:rPr>
        <w:t>。</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rPr>
        <w:t>0</w:t>
      </w:r>
      <w:r>
        <w:rPr>
          <w:rFonts w:eastAsia="仿宋_GB2312"/>
          <w:sz w:val="32"/>
          <w:szCs w:val="32"/>
        </w:rPr>
        <w:t>辆。</w:t>
      </w:r>
      <w:r>
        <w:rPr>
          <w:rFonts w:ascii="仿宋" w:hAnsi="仿宋" w:eastAsia="仿宋" w:cs="仿宋_GB2312"/>
          <w:sz w:val="32"/>
          <w:szCs w:val="32"/>
        </w:rPr>
        <w:t>公务用车购置费支出较年初预算</w:t>
      </w:r>
      <w:r>
        <w:rPr>
          <w:rFonts w:hint="eastAsia" w:ascii="仿宋" w:hAnsi="仿宋" w:eastAsia="仿宋" w:cs="仿宋_GB2312"/>
          <w:sz w:val="32"/>
          <w:szCs w:val="32"/>
        </w:rPr>
        <w:t>无增减变化</w:t>
      </w:r>
      <w:r>
        <w:rPr>
          <w:rFonts w:ascii="仿宋" w:hAnsi="仿宋" w:eastAsia="仿宋" w:cs="仿宋_GB2312"/>
          <w:sz w:val="32"/>
          <w:szCs w:val="32"/>
        </w:rPr>
        <w:t>；较2016年度决算</w:t>
      </w:r>
      <w:r>
        <w:rPr>
          <w:rFonts w:hint="eastAsia" w:ascii="仿宋" w:hAnsi="仿宋" w:eastAsia="仿宋" w:cs="仿宋_GB2312"/>
          <w:sz w:val="32"/>
          <w:szCs w:val="32"/>
        </w:rPr>
        <w:t>无增减变化</w:t>
      </w:r>
      <w:r>
        <w:rPr>
          <w:rFonts w:ascii="仿宋" w:hAnsi="仿宋" w:eastAsia="仿宋" w:cs="仿宋_GB2312"/>
          <w:sz w:val="32"/>
          <w:szCs w:val="32"/>
        </w:rPr>
        <w:t>。</w:t>
      </w:r>
    </w:p>
    <w:p>
      <w:pPr>
        <w:adjustRightInd w:val="0"/>
        <w:snapToGrid w:val="0"/>
        <w:spacing w:line="584" w:lineRule="exact"/>
        <w:ind w:firstLine="640" w:firstLineChars="200"/>
        <w:rPr>
          <w:rFonts w:eastAsia="仿宋_GB2312"/>
          <w:sz w:val="32"/>
          <w:szCs w:val="32"/>
        </w:rPr>
      </w:pPr>
      <w:r>
        <w:rPr>
          <w:rFonts w:eastAsia="楷体_GB2312"/>
          <w:bCs/>
          <w:sz w:val="32"/>
          <w:szCs w:val="32"/>
        </w:rPr>
        <w:t>公务用车运行维护费支出</w:t>
      </w:r>
      <w:r>
        <w:rPr>
          <w:rFonts w:hint="eastAsia" w:eastAsia="楷体_GB2312"/>
          <w:bCs/>
          <w:sz w:val="32"/>
          <w:szCs w:val="32"/>
        </w:rPr>
        <w:t>2.9</w:t>
      </w:r>
      <w:r>
        <w:rPr>
          <w:rFonts w:eastAsia="楷体_GB2312"/>
          <w:bCs/>
          <w:sz w:val="32"/>
          <w:szCs w:val="32"/>
        </w:rPr>
        <w:t>万元。</w:t>
      </w:r>
      <w:r>
        <w:rPr>
          <w:rFonts w:eastAsia="仿宋_GB2312"/>
          <w:sz w:val="32"/>
          <w:szCs w:val="32"/>
        </w:rPr>
        <w:t>本部门2017年末单位公务用车保有量</w:t>
      </w:r>
      <w:r>
        <w:rPr>
          <w:rFonts w:hint="eastAsia" w:eastAsia="仿宋_GB2312"/>
          <w:sz w:val="32"/>
          <w:szCs w:val="32"/>
        </w:rPr>
        <w:t>2</w:t>
      </w:r>
      <w:r>
        <w:rPr>
          <w:rFonts w:eastAsia="仿宋_GB2312"/>
          <w:sz w:val="32"/>
          <w:szCs w:val="32"/>
        </w:rPr>
        <w:t>辆。公车运行维护费支出较年初预算</w:t>
      </w:r>
      <w:r>
        <w:rPr>
          <w:rFonts w:hint="eastAsia" w:eastAsia="仿宋_GB2312"/>
          <w:sz w:val="32"/>
          <w:szCs w:val="32"/>
        </w:rPr>
        <w:t>减少1.3</w:t>
      </w:r>
      <w:r>
        <w:rPr>
          <w:rFonts w:eastAsia="仿宋_GB2312"/>
          <w:sz w:val="32"/>
          <w:szCs w:val="32"/>
        </w:rPr>
        <w:t>万元，降低</w:t>
      </w:r>
      <w:r>
        <w:rPr>
          <w:rFonts w:hint="eastAsia" w:eastAsia="仿宋_GB2312"/>
          <w:sz w:val="32"/>
          <w:szCs w:val="32"/>
        </w:rPr>
        <w:t>30.9</w:t>
      </w:r>
      <w:r>
        <w:rPr>
          <w:rFonts w:eastAsia="仿宋_GB2312"/>
          <w:sz w:val="32"/>
          <w:szCs w:val="32"/>
        </w:rPr>
        <w:t>%,主要原因是</w:t>
      </w:r>
      <w:r>
        <w:rPr>
          <w:rFonts w:hint="eastAsia" w:ascii="仿宋" w:hAnsi="仿宋" w:eastAsia="仿宋" w:cs="仿宋_GB2312"/>
          <w:sz w:val="32"/>
          <w:szCs w:val="32"/>
        </w:rPr>
        <w:t>我部门厉行节约，控制公车运行费用的支出</w:t>
      </w:r>
      <w:r>
        <w:rPr>
          <w:rFonts w:eastAsia="仿宋_GB2312"/>
          <w:sz w:val="32"/>
          <w:szCs w:val="32"/>
        </w:rPr>
        <w:t>；较2016年度决算减少</w:t>
      </w:r>
      <w:r>
        <w:rPr>
          <w:rFonts w:hint="eastAsia" w:eastAsia="仿宋_GB2312"/>
          <w:sz w:val="32"/>
          <w:szCs w:val="32"/>
        </w:rPr>
        <w:t>0.1</w:t>
      </w:r>
      <w:r>
        <w:rPr>
          <w:rFonts w:eastAsia="仿宋_GB2312"/>
          <w:sz w:val="32"/>
          <w:szCs w:val="32"/>
        </w:rPr>
        <w:t>万元，降低</w:t>
      </w:r>
      <w:r>
        <w:rPr>
          <w:rFonts w:hint="eastAsia" w:eastAsia="仿宋_GB2312"/>
          <w:sz w:val="32"/>
          <w:szCs w:val="32"/>
        </w:rPr>
        <w:t>3.33</w:t>
      </w:r>
      <w:r>
        <w:rPr>
          <w:rFonts w:eastAsia="仿宋_GB2312"/>
          <w:sz w:val="32"/>
          <w:szCs w:val="32"/>
        </w:rPr>
        <w:t>%，主要原因是</w:t>
      </w:r>
      <w:r>
        <w:rPr>
          <w:rFonts w:hint="eastAsia" w:ascii="仿宋" w:hAnsi="仿宋" w:eastAsia="仿宋" w:cs="仿宋_GB2312"/>
          <w:sz w:val="32"/>
          <w:szCs w:val="32"/>
        </w:rPr>
        <w:t>我部门厉行节约，控制公车运行费用的支出</w:t>
      </w:r>
      <w:r>
        <w:rPr>
          <w:rFonts w:eastAsia="仿宋_GB2312"/>
          <w:sz w:val="32"/>
          <w:szCs w:val="32"/>
        </w:rPr>
        <w:t>。</w:t>
      </w:r>
    </w:p>
    <w:p>
      <w:pPr>
        <w:adjustRightInd w:val="0"/>
        <w:snapToGrid w:val="0"/>
        <w:spacing w:line="584" w:lineRule="exact"/>
        <w:ind w:firstLine="640" w:firstLineChars="200"/>
        <w:rPr>
          <w:rFonts w:ascii="仿宋" w:hAnsi="仿宋" w:eastAsia="仿宋" w:cs="仿宋_GB2312"/>
          <w:sz w:val="32"/>
          <w:szCs w:val="32"/>
        </w:rPr>
      </w:pPr>
      <w:r>
        <w:rPr>
          <w:rFonts w:eastAsia="楷体_GB2312"/>
          <w:bCs/>
          <w:sz w:val="32"/>
          <w:szCs w:val="32"/>
        </w:rPr>
        <w:t>（三）公务接待费支出</w:t>
      </w:r>
      <w:r>
        <w:rPr>
          <w:rFonts w:hint="eastAsia" w:eastAsia="楷体_GB2312"/>
          <w:bCs/>
          <w:sz w:val="32"/>
          <w:szCs w:val="32"/>
        </w:rPr>
        <w:t>0</w:t>
      </w:r>
      <w:r>
        <w:rPr>
          <w:rFonts w:eastAsia="楷体_GB2312"/>
          <w:bCs/>
          <w:sz w:val="32"/>
          <w:szCs w:val="32"/>
        </w:rPr>
        <w:t>万元</w:t>
      </w:r>
      <w:r>
        <w:rPr>
          <w:rFonts w:eastAsia="楷体_GB2312"/>
          <w:b/>
          <w:bCs/>
          <w:sz w:val="32"/>
          <w:szCs w:val="32"/>
        </w:rPr>
        <w:t>。</w:t>
      </w:r>
      <w:r>
        <w:rPr>
          <w:rFonts w:eastAsia="仿宋_GB2312"/>
          <w:sz w:val="32"/>
          <w:szCs w:val="32"/>
        </w:rPr>
        <w:t>本部门2017年度公务接待共</w:t>
      </w:r>
      <w:r>
        <w:rPr>
          <w:rFonts w:hint="eastAsia" w:eastAsia="仿宋_GB2312"/>
          <w:sz w:val="32"/>
          <w:szCs w:val="32"/>
        </w:rPr>
        <w:t>0</w:t>
      </w:r>
      <w:r>
        <w:rPr>
          <w:rFonts w:eastAsia="仿宋_GB2312"/>
          <w:sz w:val="32"/>
          <w:szCs w:val="32"/>
        </w:rPr>
        <w:t>批次、</w:t>
      </w:r>
      <w:r>
        <w:rPr>
          <w:rFonts w:hint="eastAsia" w:eastAsia="仿宋_GB2312"/>
          <w:sz w:val="32"/>
          <w:szCs w:val="32"/>
        </w:rPr>
        <w:t>0</w:t>
      </w:r>
      <w:r>
        <w:rPr>
          <w:rFonts w:eastAsia="仿宋_GB2312"/>
          <w:sz w:val="32"/>
          <w:szCs w:val="32"/>
        </w:rPr>
        <w:t>人次。</w:t>
      </w:r>
      <w:r>
        <w:rPr>
          <w:rFonts w:ascii="仿宋" w:hAnsi="仿宋" w:eastAsia="仿宋" w:cs="仿宋_GB2312"/>
          <w:sz w:val="32"/>
          <w:szCs w:val="32"/>
        </w:rPr>
        <w:t>公务接待费支出较年初预算</w:t>
      </w:r>
      <w:r>
        <w:rPr>
          <w:rFonts w:hint="eastAsia" w:ascii="仿宋" w:hAnsi="仿宋" w:eastAsia="仿宋" w:cs="仿宋_GB2312"/>
          <w:sz w:val="32"/>
          <w:szCs w:val="32"/>
        </w:rPr>
        <w:t>无增减变化</w:t>
      </w:r>
      <w:r>
        <w:rPr>
          <w:rFonts w:ascii="仿宋" w:hAnsi="仿宋" w:eastAsia="仿宋" w:cs="仿宋_GB2312"/>
          <w:sz w:val="32"/>
          <w:szCs w:val="32"/>
        </w:rPr>
        <w:t>；较2016年度决算</w:t>
      </w:r>
      <w:r>
        <w:rPr>
          <w:rFonts w:hint="eastAsia" w:ascii="仿宋" w:hAnsi="仿宋" w:eastAsia="仿宋" w:cs="仿宋_GB2312"/>
          <w:sz w:val="32"/>
          <w:szCs w:val="32"/>
        </w:rPr>
        <w:t>无增减变化</w:t>
      </w:r>
      <w:r>
        <w:rPr>
          <w:rFonts w:ascii="仿宋" w:hAnsi="仿宋" w:eastAsia="仿宋" w:cs="仿宋_GB2312"/>
          <w:sz w:val="32"/>
          <w:szCs w:val="32"/>
        </w:rPr>
        <w:t>。</w:t>
      </w:r>
    </w:p>
    <w:p>
      <w:pPr>
        <w:adjustRightInd w:val="0"/>
        <w:snapToGrid w:val="0"/>
        <w:spacing w:line="584" w:lineRule="exact"/>
        <w:ind w:firstLine="640" w:firstLineChars="200"/>
        <w:rPr>
          <w:rFonts w:eastAsia="仿宋_GB2312"/>
          <w:sz w:val="32"/>
          <w:szCs w:val="32"/>
        </w:rPr>
      </w:pP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六、绩效预算管理工作开展情况说明</w:t>
      </w:r>
    </w:p>
    <w:p>
      <w:pPr>
        <w:spacing w:line="584" w:lineRule="exact"/>
        <w:ind w:firstLine="640" w:firstLineChars="200"/>
        <w:rPr>
          <w:rFonts w:eastAsia="楷体_GB2312"/>
          <w:bCs/>
          <w:sz w:val="32"/>
          <w:szCs w:val="32"/>
        </w:rPr>
      </w:pPr>
      <w:r>
        <w:rPr>
          <w:rFonts w:eastAsia="楷体_GB2312"/>
          <w:bCs/>
          <w:sz w:val="32"/>
          <w:szCs w:val="32"/>
        </w:rPr>
        <w:t>（一）绩效管理工作开展情况</w:t>
      </w:r>
    </w:p>
    <w:p>
      <w:pPr>
        <w:spacing w:line="566" w:lineRule="exact"/>
        <w:ind w:firstLine="630"/>
        <w:jc w:val="left"/>
        <w:rPr>
          <w:rFonts w:ascii="仿宋" w:hAnsi="仿宋" w:eastAsia="仿宋" w:cs="仿宋_GB2312"/>
          <w:sz w:val="32"/>
          <w:szCs w:val="32"/>
        </w:rPr>
      </w:pPr>
      <w:r>
        <w:rPr>
          <w:rFonts w:hint="eastAsia" w:ascii="仿宋" w:hAnsi="仿宋" w:eastAsia="仿宋" w:cs="仿宋_GB2312"/>
          <w:sz w:val="32"/>
          <w:szCs w:val="32"/>
        </w:rPr>
        <w:t>按照财政局统一部署，我镇积极开展部门绩效预算改革，将绩效管理理念和方法融入预算编制全过程。</w:t>
      </w:r>
    </w:p>
    <w:p>
      <w:pPr>
        <w:spacing w:line="566" w:lineRule="exact"/>
        <w:ind w:firstLine="630"/>
        <w:jc w:val="left"/>
        <w:rPr>
          <w:rFonts w:ascii="仿宋" w:hAnsi="仿宋" w:eastAsia="仿宋" w:cs="仿宋_GB2312"/>
          <w:sz w:val="32"/>
          <w:szCs w:val="32"/>
        </w:rPr>
      </w:pPr>
      <w:r>
        <w:rPr>
          <w:rFonts w:hint="eastAsia" w:ascii="仿宋" w:hAnsi="仿宋" w:eastAsia="仿宋" w:cs="仿宋_GB2312"/>
          <w:sz w:val="32"/>
          <w:szCs w:val="32"/>
        </w:rPr>
        <w:t>绩效目标方面：一是制定绩效目标编制管理要求，推进绩效目标编报工作。二是推进预算部门开展绩效目标公开，提高部门人员对绩效管理政策的知晓度和绩效工作的参与度。三是将绩效目标作为项目前期评审和预算审核的重要内容之一。</w:t>
      </w:r>
    </w:p>
    <w:p>
      <w:pPr>
        <w:spacing w:line="566" w:lineRule="exact"/>
        <w:ind w:firstLine="480" w:firstLineChars="150"/>
        <w:jc w:val="left"/>
        <w:rPr>
          <w:rFonts w:ascii="仿宋" w:hAnsi="仿宋" w:eastAsia="仿宋" w:cs="仿宋_GB2312"/>
          <w:sz w:val="32"/>
          <w:szCs w:val="32"/>
        </w:rPr>
      </w:pPr>
      <w:r>
        <w:rPr>
          <w:rFonts w:hint="eastAsia" w:ascii="仿宋" w:hAnsi="仿宋" w:eastAsia="仿宋" w:cs="仿宋_GB2312"/>
          <w:sz w:val="32"/>
          <w:szCs w:val="32"/>
        </w:rPr>
        <w:t xml:space="preserve"> 2. 绩效跟踪方面：重点推进以部门为主体开展绩效跟踪，加强项目预算执行，优化项目资金管理，促进绩效目标实现。</w:t>
      </w:r>
    </w:p>
    <w:p>
      <w:pPr>
        <w:spacing w:line="566" w:lineRule="exact"/>
        <w:ind w:firstLine="630"/>
        <w:jc w:val="left"/>
        <w:rPr>
          <w:rFonts w:ascii="仿宋" w:hAnsi="仿宋" w:eastAsia="仿宋" w:cs="仿宋_GB2312"/>
          <w:sz w:val="32"/>
          <w:szCs w:val="32"/>
        </w:rPr>
      </w:pPr>
      <w:r>
        <w:rPr>
          <w:rFonts w:hint="eastAsia" w:ascii="仿宋" w:hAnsi="仿宋" w:eastAsia="仿宋" w:cs="仿宋_GB2312"/>
          <w:sz w:val="32"/>
          <w:szCs w:val="32"/>
        </w:rPr>
        <w:t>3. 结果应用和信息公开方面：一是加强绩效评价结果应用，积极督促部门对绩效问题的整改，促进完善项目资金的管理。二是根据绩效评价信息公开的要求，完成了年度重点评价项目的结果信息公开，接受社会的监督。　</w:t>
      </w:r>
    </w:p>
    <w:p>
      <w:pPr>
        <w:spacing w:line="584" w:lineRule="exact"/>
        <w:ind w:firstLine="640" w:firstLineChars="200"/>
        <w:rPr>
          <w:rFonts w:eastAsia="楷体_GB2312"/>
          <w:bCs/>
          <w:sz w:val="32"/>
          <w:szCs w:val="32"/>
        </w:rPr>
      </w:pPr>
      <w:r>
        <w:rPr>
          <w:rFonts w:eastAsia="楷体_GB2312"/>
          <w:bCs/>
          <w:sz w:val="32"/>
          <w:szCs w:val="32"/>
        </w:rPr>
        <w:t>（二）预算项目绩效评价开展情况</w:t>
      </w:r>
    </w:p>
    <w:p>
      <w:pPr>
        <w:spacing w:line="566" w:lineRule="exact"/>
        <w:ind w:firstLine="630"/>
        <w:jc w:val="left"/>
        <w:rPr>
          <w:rFonts w:eastAsia="仿宋_GB2312"/>
          <w:sz w:val="32"/>
          <w:szCs w:val="32"/>
        </w:rPr>
      </w:pPr>
      <w:r>
        <w:rPr>
          <w:rFonts w:hint="eastAsia" w:ascii="仿宋" w:hAnsi="仿宋" w:eastAsia="仿宋" w:cs="仿宋_GB2312"/>
          <w:sz w:val="32"/>
          <w:szCs w:val="32"/>
        </w:rPr>
        <w:t>一是推进预算主管部门开展绩效评价，进一步落实支出责任。二是进一步拓展绩效评价管理模式，在重点项目绩效评价的基础上，开展部门整体支出绩效评价和专项资金政策评价。三是加强对预算部门和评价机构的政策业务培训，进一步提高绩效评价质量。</w:t>
      </w:r>
    </w:p>
    <w:p>
      <w:pPr>
        <w:numPr>
          <w:ilvl w:val="0"/>
          <w:numId w:val="1"/>
        </w:numPr>
        <w:adjustRightInd w:val="0"/>
        <w:snapToGrid w:val="0"/>
        <w:spacing w:line="584" w:lineRule="exact"/>
        <w:ind w:firstLine="640" w:firstLineChars="200"/>
        <w:rPr>
          <w:rFonts w:eastAsia="楷体_GB2312"/>
          <w:bCs/>
          <w:sz w:val="32"/>
          <w:szCs w:val="32"/>
        </w:rPr>
      </w:pPr>
      <w:r>
        <w:rPr>
          <w:rFonts w:eastAsia="楷体_GB2312"/>
          <w:bCs/>
          <w:sz w:val="32"/>
          <w:szCs w:val="32"/>
        </w:rPr>
        <w:t>预算项目绩效自评选例</w:t>
      </w:r>
    </w:p>
    <w:p>
      <w:pPr>
        <w:spacing w:line="640" w:lineRule="atLeast"/>
        <w:ind w:firstLine="320" w:firstLineChars="100"/>
        <w:rPr>
          <w:rFonts w:hint="eastAsia" w:ascii="仿宋" w:hAnsi="仿宋" w:eastAsia="仿宋" w:cs="仿宋_GB2312"/>
          <w:sz w:val="32"/>
          <w:szCs w:val="32"/>
        </w:rPr>
      </w:pPr>
      <w:r>
        <w:rPr>
          <w:rFonts w:hint="eastAsia" w:eastAsia="仿宋_GB2312"/>
          <w:sz w:val="32"/>
          <w:szCs w:val="32"/>
        </w:rPr>
        <w:t xml:space="preserve"> </w:t>
      </w:r>
      <w:r>
        <w:rPr>
          <w:rFonts w:hint="eastAsia" w:ascii="仿宋" w:hAnsi="仿宋" w:eastAsia="仿宋" w:cs="仿宋_GB2312"/>
          <w:sz w:val="32"/>
          <w:szCs w:val="32"/>
        </w:rPr>
        <w:t>《大城县南赵扶镇人民政府2017年绩效预算文本》中“部门职责</w:t>
      </w:r>
      <w:r>
        <w:rPr>
          <w:rFonts w:ascii="仿宋" w:hAnsi="仿宋" w:eastAsia="仿宋" w:cs="仿宋_GB2312"/>
          <w:sz w:val="32"/>
          <w:szCs w:val="32"/>
        </w:rPr>
        <w:t>-</w:t>
      </w:r>
      <w:r>
        <w:rPr>
          <w:rFonts w:hint="eastAsia" w:ascii="仿宋" w:hAnsi="仿宋" w:eastAsia="仿宋" w:cs="仿宋_GB2312"/>
          <w:sz w:val="32"/>
          <w:szCs w:val="32"/>
        </w:rPr>
        <w:t>工作活动绩效目标体系”共包括23项绩效指标。按照市财政预算绩效管理要求，对2017年我部门绩效预算执行情况全面开展了自评，自评结果为优秀。我部门对预算绩效评价结果进行了认真分析，对管理中存在的问题，提出改进措施。预算绩效管理工作有效的减少了我部门资金使用管理中的损失浪费现象，使资金达到了合理、优化配给。</w:t>
      </w:r>
    </w:p>
    <w:p>
      <w:pPr>
        <w:spacing w:line="640" w:lineRule="atLeast"/>
        <w:ind w:firstLine="320" w:firstLineChars="100"/>
        <w:rPr>
          <w:rFonts w:eastAsia="黑体"/>
          <w:b/>
          <w:kern w:val="0"/>
          <w:sz w:val="32"/>
          <w:szCs w:val="32"/>
        </w:rPr>
      </w:pPr>
      <w:r>
        <w:rPr>
          <w:rFonts w:eastAsia="黑体"/>
          <w:kern w:val="0"/>
          <w:sz w:val="32"/>
          <w:szCs w:val="32"/>
        </w:rPr>
        <w:t>七、其他重要事项的说明</w:t>
      </w:r>
    </w:p>
    <w:p>
      <w:pPr>
        <w:pStyle w:val="4"/>
        <w:spacing w:before="0" w:after="0" w:line="584" w:lineRule="exact"/>
        <w:ind w:firstLine="640" w:firstLineChars="200"/>
        <w:rPr>
          <w:rFonts w:eastAsia="楷体_GB2312"/>
          <w:b w:val="0"/>
        </w:rPr>
      </w:pPr>
      <w:r>
        <w:rPr>
          <w:rFonts w:eastAsia="楷体_GB2312"/>
          <w:b w:val="0"/>
        </w:rPr>
        <w:t>（一）机关运行经费情况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rPr>
        <w:t>892.1</w:t>
      </w:r>
      <w:r>
        <w:rPr>
          <w:rFonts w:eastAsia="仿宋_GB2312"/>
          <w:sz w:val="32"/>
          <w:szCs w:val="32"/>
        </w:rPr>
        <w:t>万元，比2016年度减少</w:t>
      </w:r>
      <w:r>
        <w:rPr>
          <w:rFonts w:hint="eastAsia" w:eastAsia="仿宋_GB2312"/>
          <w:sz w:val="32"/>
          <w:szCs w:val="32"/>
        </w:rPr>
        <w:t>308.02</w:t>
      </w:r>
      <w:r>
        <w:rPr>
          <w:rFonts w:eastAsia="仿宋_GB2312"/>
          <w:sz w:val="32"/>
          <w:szCs w:val="32"/>
        </w:rPr>
        <w:t>万元，降低</w:t>
      </w:r>
      <w:r>
        <w:rPr>
          <w:rFonts w:hint="eastAsia" w:eastAsia="仿宋_GB2312"/>
          <w:sz w:val="32"/>
          <w:szCs w:val="32"/>
        </w:rPr>
        <w:t>25.66</w:t>
      </w:r>
      <w:r>
        <w:rPr>
          <w:rFonts w:eastAsia="仿宋_GB2312"/>
          <w:sz w:val="32"/>
          <w:szCs w:val="32"/>
        </w:rPr>
        <w:t>%。主要原因是</w:t>
      </w:r>
      <w:r>
        <w:rPr>
          <w:rFonts w:hint="eastAsia" w:ascii="仿宋" w:hAnsi="仿宋" w:eastAsia="仿宋" w:cs="仿宋_GB2312"/>
          <w:sz w:val="32"/>
          <w:szCs w:val="32"/>
        </w:rPr>
        <w:t>我单位厉行节约，严格控制水电暖支出</w:t>
      </w:r>
      <w:r>
        <w:rPr>
          <w:rFonts w:ascii="仿宋" w:hAnsi="仿宋" w:eastAsia="仿宋" w:cs="仿宋_GB2312"/>
          <w:sz w:val="32"/>
          <w:szCs w:val="32"/>
        </w:rPr>
        <w:t>。</w:t>
      </w:r>
    </w:p>
    <w:p>
      <w:pPr>
        <w:pStyle w:val="4"/>
        <w:spacing w:before="0" w:after="0" w:line="584" w:lineRule="exact"/>
        <w:ind w:firstLine="640" w:firstLineChars="200"/>
        <w:rPr>
          <w:rFonts w:eastAsia="楷体_GB2312"/>
          <w:b w:val="0"/>
        </w:rPr>
      </w:pPr>
      <w:r>
        <w:rPr>
          <w:rFonts w:eastAsia="楷体_GB2312"/>
          <w:b w:val="0"/>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本部门2017年度政府采购支出总额</w:t>
      </w:r>
      <w:r>
        <w:rPr>
          <w:rFonts w:hint="eastAsia" w:eastAsia="仿宋_GB2312"/>
          <w:sz w:val="32"/>
          <w:szCs w:val="32"/>
          <w:lang w:val="en-US" w:eastAsia="zh-CN"/>
        </w:rPr>
        <w:t>110.46</w:t>
      </w:r>
      <w:r>
        <w:rPr>
          <w:rFonts w:eastAsia="仿宋_GB2312"/>
          <w:sz w:val="32"/>
          <w:szCs w:val="32"/>
        </w:rPr>
        <w:t>万元，其中：政府采购货物支出</w:t>
      </w:r>
      <w:r>
        <w:rPr>
          <w:rFonts w:hint="eastAsia" w:eastAsia="仿宋_GB2312"/>
          <w:sz w:val="32"/>
          <w:szCs w:val="32"/>
        </w:rPr>
        <w:t>0</w:t>
      </w:r>
      <w:r>
        <w:rPr>
          <w:rFonts w:eastAsia="仿宋_GB2312"/>
          <w:sz w:val="32"/>
          <w:szCs w:val="32"/>
        </w:rPr>
        <w:t>万元、政府采购工程支出</w:t>
      </w:r>
      <w:r>
        <w:rPr>
          <w:rFonts w:hint="eastAsia" w:eastAsia="仿宋_GB2312"/>
          <w:sz w:val="32"/>
          <w:szCs w:val="32"/>
          <w:lang w:val="en-US" w:eastAsia="zh-CN"/>
        </w:rPr>
        <w:t>110.46</w:t>
      </w:r>
      <w:r>
        <w:rPr>
          <w:rFonts w:eastAsia="仿宋_GB2312"/>
          <w:sz w:val="32"/>
          <w:szCs w:val="32"/>
        </w:rPr>
        <w:t>万元、政府采购服务支出</w:t>
      </w:r>
      <w:r>
        <w:rPr>
          <w:rFonts w:hint="eastAsia" w:eastAsia="仿宋_GB2312"/>
          <w:sz w:val="32"/>
          <w:szCs w:val="32"/>
        </w:rPr>
        <w:t>0</w:t>
      </w:r>
      <w:r>
        <w:rPr>
          <w:rFonts w:eastAsia="仿宋_GB2312"/>
          <w:sz w:val="32"/>
          <w:szCs w:val="32"/>
        </w:rPr>
        <w:t>万元。</w:t>
      </w:r>
      <w:bookmarkStart w:id="0" w:name="_GoBack"/>
      <w:bookmarkEnd w:id="0"/>
    </w:p>
    <w:p>
      <w:pPr>
        <w:pStyle w:val="4"/>
        <w:spacing w:before="0" w:after="0" w:line="584" w:lineRule="exact"/>
        <w:ind w:firstLine="640" w:firstLineChars="200"/>
        <w:rPr>
          <w:rFonts w:eastAsia="楷体_GB2312"/>
          <w:b w:val="0"/>
        </w:rPr>
      </w:pPr>
      <w:r>
        <w:rPr>
          <w:rFonts w:eastAsia="楷体_GB2312"/>
          <w:b w:val="0"/>
        </w:rPr>
        <w:t>（三）国有资产占用情况</w:t>
      </w:r>
    </w:p>
    <w:p>
      <w:pPr>
        <w:adjustRightInd w:val="0"/>
        <w:snapToGrid w:val="0"/>
        <w:spacing w:line="584" w:lineRule="exact"/>
        <w:ind w:firstLine="640" w:firstLineChars="200"/>
        <w:rPr>
          <w:rFonts w:hint="eastAsia" w:eastAsia="仿宋_GB2312"/>
          <w:sz w:val="32"/>
          <w:szCs w:val="32"/>
        </w:rPr>
      </w:pPr>
      <w:r>
        <w:rPr>
          <w:rFonts w:eastAsia="仿宋_GB2312"/>
          <w:sz w:val="32"/>
          <w:szCs w:val="32"/>
        </w:rPr>
        <w:t>截至2017年12月31日，本部门共有车辆</w:t>
      </w:r>
      <w:r>
        <w:rPr>
          <w:rFonts w:hint="eastAsia" w:eastAsia="仿宋_GB2312"/>
          <w:sz w:val="32"/>
          <w:szCs w:val="32"/>
        </w:rPr>
        <w:t>2</w:t>
      </w:r>
      <w:r>
        <w:rPr>
          <w:rFonts w:eastAsia="仿宋_GB2312"/>
          <w:sz w:val="32"/>
          <w:szCs w:val="32"/>
        </w:rPr>
        <w:t>辆，其中，市级领导干部用车</w:t>
      </w:r>
      <w:r>
        <w:rPr>
          <w:rFonts w:hint="eastAsia" w:eastAsia="仿宋_GB2312"/>
          <w:sz w:val="32"/>
          <w:szCs w:val="32"/>
        </w:rPr>
        <w:t>0</w:t>
      </w:r>
      <w:r>
        <w:rPr>
          <w:rFonts w:eastAsia="仿宋_GB2312"/>
          <w:sz w:val="32"/>
          <w:szCs w:val="32"/>
        </w:rPr>
        <w:t>辆、一般公务用车</w:t>
      </w:r>
      <w:r>
        <w:rPr>
          <w:rFonts w:hint="eastAsia" w:eastAsia="仿宋_GB2312"/>
          <w:sz w:val="32"/>
          <w:szCs w:val="32"/>
        </w:rPr>
        <w:t>2</w:t>
      </w:r>
      <w:r>
        <w:rPr>
          <w:rFonts w:eastAsia="仿宋_GB2312"/>
          <w:sz w:val="32"/>
          <w:szCs w:val="32"/>
        </w:rPr>
        <w:t>辆、一般执法执勤用车</w:t>
      </w:r>
      <w:r>
        <w:rPr>
          <w:rFonts w:hint="eastAsia" w:eastAsia="仿宋_GB2312"/>
          <w:sz w:val="32"/>
          <w:szCs w:val="32"/>
        </w:rPr>
        <w:t>0</w:t>
      </w:r>
      <w:r>
        <w:rPr>
          <w:rFonts w:eastAsia="仿宋_GB2312"/>
          <w:sz w:val="32"/>
          <w:szCs w:val="32"/>
        </w:rPr>
        <w:t>辆、特种专业技术用车</w:t>
      </w:r>
      <w:r>
        <w:rPr>
          <w:rFonts w:hint="eastAsia" w:eastAsia="仿宋_GB2312"/>
          <w:sz w:val="32"/>
          <w:szCs w:val="32"/>
        </w:rPr>
        <w:t>0</w:t>
      </w:r>
      <w:r>
        <w:rPr>
          <w:rFonts w:eastAsia="仿宋_GB2312"/>
          <w:sz w:val="32"/>
          <w:szCs w:val="32"/>
        </w:rPr>
        <w:t>辆、其他用车</w:t>
      </w:r>
      <w:r>
        <w:rPr>
          <w:rFonts w:hint="eastAsia" w:eastAsia="仿宋_GB2312"/>
          <w:sz w:val="32"/>
          <w:szCs w:val="32"/>
        </w:rPr>
        <w:t>0</w:t>
      </w:r>
      <w:r>
        <w:rPr>
          <w:rFonts w:eastAsia="仿宋_GB2312"/>
          <w:sz w:val="32"/>
          <w:szCs w:val="32"/>
        </w:rPr>
        <w:t>辆；单位价值50万元以上大型设备</w:t>
      </w:r>
      <w:r>
        <w:rPr>
          <w:rFonts w:hint="eastAsia" w:eastAsia="仿宋_GB2312"/>
          <w:sz w:val="32"/>
          <w:szCs w:val="32"/>
        </w:rPr>
        <w:t>0</w:t>
      </w:r>
      <w:r>
        <w:rPr>
          <w:rFonts w:eastAsia="仿宋_GB2312"/>
          <w:sz w:val="32"/>
          <w:szCs w:val="32"/>
        </w:rPr>
        <w:t>台（套），单位价值100万元以上大型设备</w:t>
      </w:r>
      <w:r>
        <w:rPr>
          <w:rFonts w:hint="eastAsia" w:eastAsia="仿宋_GB2312"/>
          <w:sz w:val="32"/>
          <w:szCs w:val="32"/>
        </w:rPr>
        <w:t>0</w:t>
      </w:r>
      <w:r>
        <w:rPr>
          <w:rFonts w:eastAsia="仿宋_GB2312"/>
          <w:sz w:val="32"/>
          <w:szCs w:val="32"/>
        </w:rPr>
        <w:t>台（套）。</w:t>
      </w:r>
    </w:p>
    <w:tbl>
      <w:tblPr>
        <w:tblStyle w:val="7"/>
        <w:tblW w:w="8835" w:type="dxa"/>
        <w:tblInd w:w="0" w:type="dxa"/>
        <w:tblLayout w:type="fixed"/>
        <w:tblCellMar>
          <w:top w:w="0" w:type="dxa"/>
          <w:left w:w="108" w:type="dxa"/>
          <w:bottom w:w="0" w:type="dxa"/>
          <w:right w:w="108" w:type="dxa"/>
        </w:tblCellMar>
      </w:tblPr>
      <w:tblGrid>
        <w:gridCol w:w="3452"/>
        <w:gridCol w:w="2278"/>
        <w:gridCol w:w="3105"/>
      </w:tblGrid>
      <w:tr>
        <w:tblPrEx>
          <w:tblLayout w:type="fixed"/>
          <w:tblCellMar>
            <w:top w:w="0" w:type="dxa"/>
            <w:left w:w="108" w:type="dxa"/>
            <w:bottom w:w="0" w:type="dxa"/>
            <w:right w:w="108" w:type="dxa"/>
          </w:tblCellMar>
        </w:tblPrEx>
        <w:trPr>
          <w:trHeight w:val="575" w:hRule="atLeast"/>
        </w:trPr>
        <w:tc>
          <w:tcPr>
            <w:tcW w:w="8835" w:type="dxa"/>
            <w:gridSpan w:val="3"/>
            <w:tcBorders>
              <w:top w:val="nil"/>
              <w:left w:val="nil"/>
              <w:bottom w:val="nil"/>
              <w:right w:val="nil"/>
            </w:tcBorders>
            <w:vAlign w:val="center"/>
          </w:tcPr>
          <w:p>
            <w:pPr>
              <w:widowControl/>
              <w:jc w:val="center"/>
              <w:rPr>
                <w:rFonts w:ascii="宋体" w:cs="宋体"/>
                <w:b/>
                <w:bCs/>
                <w:kern w:val="0"/>
                <w:sz w:val="28"/>
                <w:szCs w:val="28"/>
              </w:rPr>
            </w:pPr>
            <w:r>
              <w:rPr>
                <w:rFonts w:hint="eastAsia" w:ascii="宋体" w:hAnsi="宋体" w:cs="宋体"/>
                <w:b/>
                <w:bCs/>
                <w:kern w:val="0"/>
                <w:sz w:val="28"/>
                <w:szCs w:val="28"/>
              </w:rPr>
              <w:t>南赵扶镇人民政府部门固定资产占用情况表</w:t>
            </w:r>
          </w:p>
          <w:p>
            <w:pPr>
              <w:autoSpaceDE w:val="0"/>
              <w:autoSpaceDN w:val="0"/>
              <w:snapToGrid w:val="0"/>
              <w:ind w:firstLine="562" w:firstLineChars="200"/>
              <w:jc w:val="center"/>
              <w:rPr>
                <w:rFonts w:ascii="宋体" w:cs="宋体"/>
                <w:b/>
                <w:bCs/>
                <w:kern w:val="0"/>
                <w:sz w:val="28"/>
                <w:szCs w:val="28"/>
              </w:rPr>
            </w:pPr>
          </w:p>
        </w:tc>
      </w:tr>
      <w:tr>
        <w:tblPrEx>
          <w:tblLayout w:type="fixed"/>
          <w:tblCellMar>
            <w:top w:w="0" w:type="dxa"/>
            <w:left w:w="108" w:type="dxa"/>
            <w:bottom w:w="0" w:type="dxa"/>
            <w:right w:w="108" w:type="dxa"/>
          </w:tblCellMar>
        </w:tblPrEx>
        <w:trPr>
          <w:trHeight w:val="688" w:hRule="atLeast"/>
        </w:trPr>
        <w:tc>
          <w:tcPr>
            <w:tcW w:w="5730" w:type="dxa"/>
            <w:gridSpan w:val="2"/>
            <w:tcBorders>
              <w:top w:val="nil"/>
              <w:left w:val="nil"/>
              <w:bottom w:val="nil"/>
              <w:right w:val="nil"/>
            </w:tcBorders>
            <w:vAlign w:val="center"/>
          </w:tcPr>
          <w:p>
            <w:pPr>
              <w:widowControl/>
              <w:jc w:val="center"/>
              <w:rPr>
                <w:kern w:val="0"/>
                <w:sz w:val="22"/>
              </w:rPr>
            </w:pPr>
            <w:r>
              <w:rPr>
                <w:rFonts w:hint="eastAsia" w:ascii="宋体" w:hAnsi="宋体" w:cs="宋体"/>
                <w:kern w:val="0"/>
                <w:sz w:val="22"/>
              </w:rPr>
              <w:t>编制部门：南赵扶镇人民政府部门</w:t>
            </w:r>
          </w:p>
        </w:tc>
        <w:tc>
          <w:tcPr>
            <w:tcW w:w="3105" w:type="dxa"/>
            <w:tcBorders>
              <w:top w:val="nil"/>
              <w:left w:val="nil"/>
              <w:bottom w:val="nil"/>
              <w:right w:val="nil"/>
            </w:tcBorders>
            <w:vAlign w:val="center"/>
          </w:tcPr>
          <w:p>
            <w:pPr>
              <w:widowControl/>
              <w:jc w:val="center"/>
              <w:rPr>
                <w:kern w:val="0"/>
                <w:sz w:val="22"/>
              </w:rPr>
            </w:pPr>
            <w:r>
              <w:rPr>
                <w:rFonts w:hint="eastAsia"/>
                <w:kern w:val="0"/>
                <w:sz w:val="22"/>
              </w:rPr>
              <w:t>截止时间：</w:t>
            </w:r>
            <w:r>
              <w:rPr>
                <w:kern w:val="0"/>
                <w:sz w:val="22"/>
              </w:rPr>
              <w:t>2017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p>
        </w:tc>
      </w:tr>
      <w:tr>
        <w:tblPrEx>
          <w:tblLayout w:type="fixed"/>
          <w:tblCellMar>
            <w:top w:w="0" w:type="dxa"/>
            <w:left w:w="108" w:type="dxa"/>
            <w:bottom w:w="0" w:type="dxa"/>
            <w:right w:w="108" w:type="dxa"/>
          </w:tblCellMar>
        </w:tblPrEx>
        <w:trPr>
          <w:trHeight w:val="571"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jc w:val="center"/>
              <w:rPr>
                <w:b/>
                <w:bCs/>
                <w:kern w:val="0"/>
                <w:sz w:val="22"/>
              </w:rPr>
            </w:pPr>
            <w:r>
              <w:rPr>
                <w:rFonts w:hint="eastAsia"/>
                <w:b/>
                <w:bCs/>
                <w:kern w:val="0"/>
                <w:sz w:val="22"/>
              </w:rPr>
              <w:t>项</w:t>
            </w:r>
            <w:r>
              <w:rPr>
                <w:b/>
                <w:bCs/>
                <w:kern w:val="0"/>
                <w:sz w:val="22"/>
              </w:rPr>
              <w:t xml:space="preserve">  </w:t>
            </w:r>
            <w:r>
              <w:rPr>
                <w:rFonts w:hint="eastAsia"/>
                <w:b/>
                <w:bCs/>
                <w:kern w:val="0"/>
                <w:sz w:val="22"/>
              </w:rPr>
              <w:t>目</w:t>
            </w:r>
          </w:p>
        </w:tc>
        <w:tc>
          <w:tcPr>
            <w:tcW w:w="2278" w:type="dxa"/>
            <w:tcBorders>
              <w:top w:val="single" w:color="auto" w:sz="4" w:space="0"/>
              <w:left w:val="nil"/>
              <w:bottom w:val="single" w:color="auto" w:sz="4" w:space="0"/>
              <w:right w:val="single" w:color="auto" w:sz="4" w:space="0"/>
            </w:tcBorders>
            <w:vAlign w:val="center"/>
          </w:tcPr>
          <w:p>
            <w:pPr>
              <w:widowControl/>
              <w:ind w:firstLine="442" w:firstLineChars="200"/>
              <w:jc w:val="center"/>
              <w:rPr>
                <w:b/>
                <w:bCs/>
                <w:kern w:val="0"/>
                <w:sz w:val="22"/>
              </w:rPr>
            </w:pPr>
            <w:r>
              <w:rPr>
                <w:rFonts w:hint="eastAsia"/>
                <w:b/>
                <w:bCs/>
                <w:kern w:val="0"/>
                <w:sz w:val="22"/>
              </w:rPr>
              <w:t>数量</w:t>
            </w:r>
          </w:p>
        </w:tc>
        <w:tc>
          <w:tcPr>
            <w:tcW w:w="3105" w:type="dxa"/>
            <w:tcBorders>
              <w:top w:val="single" w:color="auto" w:sz="4" w:space="0"/>
              <w:left w:val="nil"/>
              <w:bottom w:val="single" w:color="auto" w:sz="4" w:space="0"/>
              <w:right w:val="single" w:color="auto" w:sz="4" w:space="0"/>
            </w:tcBorders>
            <w:vAlign w:val="center"/>
          </w:tcPr>
          <w:p>
            <w:pPr>
              <w:widowControl/>
              <w:ind w:firstLine="442" w:firstLineChars="200"/>
              <w:jc w:val="center"/>
              <w:rPr>
                <w:b/>
                <w:bCs/>
                <w:kern w:val="0"/>
                <w:sz w:val="22"/>
              </w:rPr>
            </w:pPr>
            <w:r>
              <w:rPr>
                <w:rFonts w:hint="eastAsia"/>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3452" w:type="dxa"/>
            <w:tcBorders>
              <w:top w:val="nil"/>
              <w:left w:val="single" w:color="auto" w:sz="4" w:space="0"/>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资产总额</w:t>
            </w:r>
          </w:p>
        </w:tc>
        <w:tc>
          <w:tcPr>
            <w:tcW w:w="2278"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kern w:val="0"/>
                <w:sz w:val="22"/>
              </w:rPr>
              <w:t>——</w:t>
            </w:r>
          </w:p>
        </w:tc>
        <w:tc>
          <w:tcPr>
            <w:tcW w:w="3105"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692.06</w:t>
            </w:r>
          </w:p>
        </w:tc>
      </w:tr>
      <w:tr>
        <w:tblPrEx>
          <w:tblLayout w:type="fixed"/>
          <w:tblCellMar>
            <w:top w:w="0" w:type="dxa"/>
            <w:left w:w="108" w:type="dxa"/>
            <w:bottom w:w="0" w:type="dxa"/>
            <w:right w:w="108" w:type="dxa"/>
          </w:tblCellMar>
        </w:tblPrEx>
        <w:trPr>
          <w:trHeight w:val="571" w:hRule="atLeast"/>
        </w:trPr>
        <w:tc>
          <w:tcPr>
            <w:tcW w:w="3452" w:type="dxa"/>
            <w:tcBorders>
              <w:top w:val="nil"/>
              <w:left w:val="single" w:color="auto" w:sz="4" w:space="0"/>
              <w:bottom w:val="single" w:color="auto" w:sz="4" w:space="0"/>
              <w:right w:val="single" w:color="auto" w:sz="4" w:space="0"/>
            </w:tcBorders>
            <w:vAlign w:val="center"/>
          </w:tcPr>
          <w:p>
            <w:pPr>
              <w:widowControl/>
              <w:ind w:firstLine="440" w:firstLineChars="200"/>
              <w:jc w:val="center"/>
              <w:rPr>
                <w:kern w:val="0"/>
                <w:sz w:val="22"/>
              </w:rPr>
            </w:pPr>
            <w:r>
              <w:rPr>
                <w:kern w:val="0"/>
                <w:sz w:val="22"/>
              </w:rPr>
              <w:t>1</w:t>
            </w:r>
            <w:r>
              <w:rPr>
                <w:rFonts w:hint="eastAsia"/>
                <w:kern w:val="0"/>
                <w:sz w:val="22"/>
              </w:rPr>
              <w:t>、房屋（平方米）</w:t>
            </w:r>
          </w:p>
        </w:tc>
        <w:tc>
          <w:tcPr>
            <w:tcW w:w="2278"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 xml:space="preserve">    2000</w:t>
            </w:r>
          </w:p>
        </w:tc>
        <w:tc>
          <w:tcPr>
            <w:tcW w:w="3105"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510</w:t>
            </w:r>
          </w:p>
        </w:tc>
      </w:tr>
      <w:tr>
        <w:tblPrEx>
          <w:tblLayout w:type="fixed"/>
          <w:tblCellMar>
            <w:top w:w="0" w:type="dxa"/>
            <w:left w:w="108" w:type="dxa"/>
            <w:bottom w:w="0" w:type="dxa"/>
            <w:right w:w="108" w:type="dxa"/>
          </w:tblCellMar>
        </w:tblPrEx>
        <w:trPr>
          <w:trHeight w:val="571" w:hRule="atLeast"/>
        </w:trPr>
        <w:tc>
          <w:tcPr>
            <w:tcW w:w="3452" w:type="dxa"/>
            <w:tcBorders>
              <w:top w:val="nil"/>
              <w:left w:val="single" w:color="auto" w:sz="4" w:space="0"/>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其中：办公用房（平方米）</w:t>
            </w:r>
          </w:p>
        </w:tc>
        <w:tc>
          <w:tcPr>
            <w:tcW w:w="2278"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2000</w:t>
            </w:r>
          </w:p>
        </w:tc>
        <w:tc>
          <w:tcPr>
            <w:tcW w:w="3105"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510</w:t>
            </w:r>
          </w:p>
        </w:tc>
      </w:tr>
      <w:tr>
        <w:tblPrEx>
          <w:tblLayout w:type="fixed"/>
          <w:tblCellMar>
            <w:top w:w="0" w:type="dxa"/>
            <w:left w:w="108" w:type="dxa"/>
            <w:bottom w:w="0" w:type="dxa"/>
            <w:right w:w="108" w:type="dxa"/>
          </w:tblCellMar>
        </w:tblPrEx>
        <w:trPr>
          <w:trHeight w:val="571" w:hRule="atLeast"/>
        </w:trPr>
        <w:tc>
          <w:tcPr>
            <w:tcW w:w="3452" w:type="dxa"/>
            <w:tcBorders>
              <w:top w:val="nil"/>
              <w:left w:val="single" w:color="auto" w:sz="4" w:space="0"/>
              <w:bottom w:val="single" w:color="auto" w:sz="4" w:space="0"/>
              <w:right w:val="single" w:color="auto" w:sz="4" w:space="0"/>
            </w:tcBorders>
            <w:vAlign w:val="center"/>
          </w:tcPr>
          <w:p>
            <w:pPr>
              <w:widowControl/>
              <w:ind w:firstLine="440" w:firstLineChars="200"/>
              <w:jc w:val="center"/>
              <w:rPr>
                <w:kern w:val="0"/>
                <w:sz w:val="22"/>
              </w:rPr>
            </w:pPr>
            <w:r>
              <w:rPr>
                <w:kern w:val="0"/>
                <w:sz w:val="22"/>
              </w:rPr>
              <w:t>2</w:t>
            </w:r>
            <w:r>
              <w:rPr>
                <w:rFonts w:hint="eastAsia"/>
                <w:kern w:val="0"/>
                <w:sz w:val="22"/>
              </w:rPr>
              <w:t>、车辆（台、辆）</w:t>
            </w:r>
          </w:p>
        </w:tc>
        <w:tc>
          <w:tcPr>
            <w:tcW w:w="2278"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2</w:t>
            </w:r>
          </w:p>
        </w:tc>
        <w:tc>
          <w:tcPr>
            <w:tcW w:w="3105"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22.3</w:t>
            </w:r>
          </w:p>
        </w:tc>
      </w:tr>
      <w:tr>
        <w:tblPrEx>
          <w:tblLayout w:type="fixed"/>
          <w:tblCellMar>
            <w:top w:w="0" w:type="dxa"/>
            <w:left w:w="108" w:type="dxa"/>
            <w:bottom w:w="0" w:type="dxa"/>
            <w:right w:w="108" w:type="dxa"/>
          </w:tblCellMar>
        </w:tblPrEx>
        <w:trPr>
          <w:trHeight w:val="571" w:hRule="atLeast"/>
        </w:trPr>
        <w:tc>
          <w:tcPr>
            <w:tcW w:w="3452" w:type="dxa"/>
            <w:tcBorders>
              <w:top w:val="nil"/>
              <w:left w:val="single" w:color="auto" w:sz="4" w:space="0"/>
              <w:bottom w:val="single" w:color="auto" w:sz="4" w:space="0"/>
              <w:right w:val="single" w:color="auto" w:sz="4" w:space="0"/>
            </w:tcBorders>
            <w:vAlign w:val="center"/>
          </w:tcPr>
          <w:p>
            <w:pPr>
              <w:widowControl/>
              <w:ind w:firstLine="440" w:firstLineChars="200"/>
              <w:jc w:val="center"/>
              <w:rPr>
                <w:kern w:val="0"/>
                <w:sz w:val="22"/>
              </w:rPr>
            </w:pPr>
            <w:r>
              <w:rPr>
                <w:kern w:val="0"/>
                <w:sz w:val="22"/>
              </w:rPr>
              <w:t>3</w:t>
            </w:r>
            <w:r>
              <w:rPr>
                <w:rFonts w:hint="eastAsia"/>
                <w:kern w:val="0"/>
                <w:sz w:val="22"/>
              </w:rPr>
              <w:t>、单价在</w:t>
            </w:r>
            <w:r>
              <w:rPr>
                <w:kern w:val="0"/>
                <w:sz w:val="22"/>
              </w:rPr>
              <w:t>50</w:t>
            </w:r>
            <w:r>
              <w:rPr>
                <w:rFonts w:hint="eastAsia"/>
                <w:kern w:val="0"/>
                <w:sz w:val="22"/>
              </w:rPr>
              <w:t>万元以上的设备</w:t>
            </w:r>
          </w:p>
        </w:tc>
        <w:tc>
          <w:tcPr>
            <w:tcW w:w="2278"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p>
        </w:tc>
        <w:tc>
          <w:tcPr>
            <w:tcW w:w="3105" w:type="dxa"/>
            <w:tcBorders>
              <w:top w:val="nil"/>
              <w:left w:val="nil"/>
              <w:bottom w:val="single" w:color="auto" w:sz="4" w:space="0"/>
              <w:right w:val="single" w:color="auto" w:sz="4" w:space="0"/>
            </w:tcBorders>
            <w:vAlign w:val="center"/>
          </w:tcPr>
          <w:p>
            <w:pPr>
              <w:widowControl/>
              <w:ind w:firstLine="440" w:firstLineChars="200"/>
              <w:jc w:val="center"/>
              <w:rPr>
                <w:kern w:val="0"/>
                <w:sz w:val="22"/>
              </w:rPr>
            </w:pPr>
          </w:p>
        </w:tc>
      </w:tr>
      <w:tr>
        <w:tblPrEx>
          <w:tblLayout w:type="fixed"/>
          <w:tblCellMar>
            <w:top w:w="0" w:type="dxa"/>
            <w:left w:w="108" w:type="dxa"/>
            <w:bottom w:w="0" w:type="dxa"/>
            <w:right w:w="108" w:type="dxa"/>
          </w:tblCellMar>
        </w:tblPrEx>
        <w:trPr>
          <w:trHeight w:val="613" w:hRule="atLeast"/>
        </w:trPr>
        <w:tc>
          <w:tcPr>
            <w:tcW w:w="3452"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center"/>
              <w:rPr>
                <w:kern w:val="0"/>
                <w:sz w:val="22"/>
              </w:rPr>
            </w:pPr>
            <w:r>
              <w:rPr>
                <w:kern w:val="0"/>
                <w:sz w:val="22"/>
              </w:rPr>
              <w:t>4</w:t>
            </w:r>
            <w:r>
              <w:rPr>
                <w:rFonts w:hint="eastAsia"/>
                <w:kern w:val="0"/>
                <w:sz w:val="22"/>
              </w:rPr>
              <w:t>、其他固定资产</w:t>
            </w:r>
          </w:p>
        </w:tc>
        <w:tc>
          <w:tcPr>
            <w:tcW w:w="2278" w:type="dxa"/>
            <w:tcBorders>
              <w:top w:val="single" w:color="auto" w:sz="4" w:space="0"/>
              <w:left w:val="nil"/>
              <w:bottom w:val="single" w:color="auto" w:sz="4" w:space="0"/>
              <w:right w:val="single" w:color="auto" w:sz="4" w:space="0"/>
            </w:tcBorders>
            <w:vAlign w:val="center"/>
          </w:tcPr>
          <w:p>
            <w:pPr>
              <w:widowControl/>
              <w:ind w:firstLine="440" w:firstLineChars="200"/>
              <w:jc w:val="center"/>
              <w:rPr>
                <w:kern w:val="0"/>
                <w:sz w:val="22"/>
              </w:rPr>
            </w:pPr>
            <w:r>
              <w:rPr>
                <w:kern w:val="0"/>
                <w:sz w:val="22"/>
              </w:rPr>
              <w:t>——</w:t>
            </w:r>
          </w:p>
        </w:tc>
        <w:tc>
          <w:tcPr>
            <w:tcW w:w="3105" w:type="dxa"/>
            <w:tcBorders>
              <w:top w:val="single" w:color="auto" w:sz="4" w:space="0"/>
              <w:left w:val="nil"/>
              <w:bottom w:val="single" w:color="auto" w:sz="4" w:space="0"/>
              <w:right w:val="single" w:color="auto" w:sz="4" w:space="0"/>
            </w:tcBorders>
            <w:vAlign w:val="center"/>
          </w:tcPr>
          <w:p>
            <w:pPr>
              <w:widowControl/>
              <w:ind w:firstLine="440" w:firstLineChars="200"/>
              <w:jc w:val="center"/>
              <w:rPr>
                <w:kern w:val="0"/>
                <w:sz w:val="22"/>
              </w:rPr>
            </w:pPr>
            <w:r>
              <w:rPr>
                <w:rFonts w:hint="eastAsia"/>
                <w:kern w:val="0"/>
                <w:sz w:val="22"/>
              </w:rPr>
              <w:t>98.63</w:t>
            </w:r>
          </w:p>
        </w:tc>
      </w:tr>
    </w:tbl>
    <w:p>
      <w:pPr>
        <w:adjustRightInd w:val="0"/>
        <w:snapToGrid w:val="0"/>
        <w:spacing w:line="584" w:lineRule="exact"/>
        <w:ind w:firstLine="640" w:firstLineChars="200"/>
        <w:rPr>
          <w:rFonts w:eastAsia="仿宋_GB2312"/>
          <w:sz w:val="32"/>
          <w:szCs w:val="32"/>
        </w:rPr>
      </w:pPr>
    </w:p>
    <w:p>
      <w:pPr>
        <w:pStyle w:val="4"/>
        <w:spacing w:before="0" w:after="0" w:line="584" w:lineRule="exact"/>
        <w:ind w:firstLine="640" w:firstLineChars="200"/>
        <w:rPr>
          <w:rFonts w:eastAsia="楷体_GB2312"/>
          <w:b w:val="0"/>
        </w:rPr>
      </w:pPr>
      <w:r>
        <w:rPr>
          <w:rFonts w:eastAsia="楷体_GB2312"/>
          <w:b w:val="0"/>
        </w:rPr>
        <w:t>（四）其他需要说明的情况</w:t>
      </w:r>
    </w:p>
    <w:p>
      <w:pPr>
        <w:adjustRightInd w:val="0"/>
        <w:snapToGrid w:val="0"/>
        <w:spacing w:line="584" w:lineRule="exact"/>
        <w:ind w:firstLine="640" w:firstLineChars="200"/>
        <w:rPr>
          <w:rFonts w:eastAsia="仿宋_GB2312"/>
          <w:sz w:val="32"/>
          <w:szCs w:val="32"/>
        </w:rPr>
      </w:pPr>
      <w:r>
        <w:rPr>
          <w:rFonts w:eastAsia="仿宋_GB2312"/>
          <w:sz w:val="32"/>
          <w:szCs w:val="32"/>
        </w:rPr>
        <w:t>1、本部门2017年度</w:t>
      </w:r>
      <w:r>
        <w:rPr>
          <w:rFonts w:hint="eastAsia" w:ascii="仿宋" w:hAnsi="仿宋" w:eastAsia="仿宋" w:cs="仿宋_GB2312"/>
          <w:sz w:val="32"/>
          <w:szCs w:val="32"/>
        </w:rPr>
        <w:t>国有资本经营预算</w:t>
      </w:r>
      <w:r>
        <w:rPr>
          <w:rFonts w:eastAsia="仿宋_GB2312"/>
          <w:sz w:val="32"/>
          <w:szCs w:val="32"/>
        </w:rPr>
        <w:t>无收支及结转结余情况，故</w:t>
      </w:r>
      <w:r>
        <w:rPr>
          <w:rFonts w:ascii="仿宋" w:hAnsi="仿宋" w:eastAsia="仿宋" w:cs="仿宋_GB2312"/>
          <w:sz w:val="32"/>
          <w:szCs w:val="32"/>
        </w:rPr>
        <w:t>国有资本经营预算财政拨款收入支出决算</w:t>
      </w:r>
      <w:r>
        <w:rPr>
          <w:rFonts w:eastAsia="仿宋_GB2312"/>
          <w:sz w:val="32"/>
          <w:szCs w:val="32"/>
        </w:rPr>
        <w:t>表以空表列示。</w:t>
      </w:r>
    </w:p>
    <w:p>
      <w:pPr>
        <w:adjustRightInd w:val="0"/>
        <w:snapToGrid w:val="0"/>
        <w:spacing w:line="584" w:lineRule="exact"/>
        <w:ind w:firstLine="640" w:firstLineChars="2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p>
    <w:p>
      <w:pPr>
        <w:ind w:firstLine="452" w:firstLineChars="150"/>
        <w:rPr>
          <w:rFonts w:ascii="仿宋" w:hAnsi="仿宋" w:eastAsia="仿宋" w:cs="仿宋"/>
          <w:b/>
          <w:bCs/>
          <w:color w:val="FF0000"/>
          <w:sz w:val="30"/>
          <w:szCs w:val="30"/>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r>
        <w:rPr>
          <w:rFonts w:eastAsia="仿宋_GB2312"/>
          <w:sz w:val="32"/>
          <w:szCs w:val="32"/>
        </w:rPr>
        <w:br w:type="textWrapping"/>
      </w: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hint="eastAsia"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pPr>
      <w:r>
        <w:t>第四部分名词解释</w:t>
      </w:r>
    </w:p>
    <w:p/>
    <w:p>
      <w:pPr>
        <w:spacing w:line="584" w:lineRule="exact"/>
        <w:ind w:firstLine="640" w:firstLineChars="200"/>
        <w:rPr>
          <w:rFonts w:eastAsia="仿宋_GB2312"/>
          <w:color w:val="000000"/>
          <w:kern w:val="0"/>
          <w:sz w:val="32"/>
          <w:szCs w:val="32"/>
        </w:rPr>
      </w:pPr>
      <w:r>
        <w:rPr>
          <w:rFonts w:eastAsia="楷体_GB2312"/>
          <w:bCs/>
          <w:sz w:val="32"/>
          <w:szCs w:val="32"/>
        </w:rPr>
        <w:t>（一）财政拨款收入：</w:t>
      </w:r>
      <w:r>
        <w:rPr>
          <w:rFonts w:eastAsia="仿宋_GB2312"/>
          <w:color w:val="000000"/>
          <w:kern w:val="0"/>
          <w:sz w:val="32"/>
          <w:szCs w:val="32"/>
        </w:rPr>
        <w:t>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楷体_GB2312"/>
          <w:bCs/>
          <w:sz w:val="32"/>
          <w:szCs w:val="32"/>
        </w:rPr>
        <w:t>（二）事业收入</w:t>
      </w:r>
      <w:r>
        <w:rPr>
          <w:rFonts w:eastAsia="仿宋_GB2312"/>
          <w:color w:val="000000"/>
          <w:kern w:val="0"/>
          <w:sz w:val="32"/>
          <w:szCs w:val="32"/>
        </w:rPr>
        <w:t>：指事业单位开展专业业务活动及辅助活动所取得的收入。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楷体_GB2312"/>
          <w:bCs/>
          <w:sz w:val="32"/>
          <w:szCs w:val="32"/>
        </w:rPr>
        <w:t>（三）其他收入：</w:t>
      </w:r>
      <w:r>
        <w:rPr>
          <w:rFonts w:eastAsia="仿宋_GB2312"/>
          <w:color w:val="000000"/>
          <w:kern w:val="0"/>
          <w:sz w:val="32"/>
          <w:szCs w:val="32"/>
        </w:rPr>
        <w:t>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楷体_GB2312"/>
          <w:bCs/>
          <w:sz w:val="32"/>
          <w:szCs w:val="32"/>
        </w:rPr>
        <w:t>（四）用事业基金弥补收支差额</w:t>
      </w:r>
      <w:r>
        <w:rPr>
          <w:rFonts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楷体_GB2312"/>
          <w:bCs/>
          <w:sz w:val="32"/>
          <w:szCs w:val="32"/>
        </w:rPr>
        <w:t>（五）年初结转和结余</w:t>
      </w:r>
      <w:r>
        <w:rPr>
          <w:rFonts w:eastAsia="仿宋_GB2312"/>
          <w:color w:val="000000"/>
          <w:kern w:val="0"/>
          <w:sz w:val="32"/>
          <w:szCs w:val="32"/>
        </w:rPr>
        <w:t>：指以前年度尚未完成、结转到本年仍按原规定用途继续使用的资金，或项目已完成等产生的结余资金。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楷体_GB2312"/>
          <w:bCs/>
          <w:sz w:val="32"/>
          <w:szCs w:val="32"/>
        </w:rPr>
        <w:t>（六）结余分配：</w:t>
      </w:r>
      <w:r>
        <w:rPr>
          <w:rFonts w:eastAsia="仿宋_GB2312"/>
          <w:color w:val="000000"/>
          <w:kern w:val="0"/>
          <w:sz w:val="32"/>
          <w:szCs w:val="32"/>
        </w:rPr>
        <w:t>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楷体_GB2312"/>
          <w:bCs/>
          <w:sz w:val="32"/>
          <w:szCs w:val="32"/>
        </w:rPr>
        <w:t>（七）年末结转和结余：</w:t>
      </w:r>
      <w:r>
        <w:rPr>
          <w:rFonts w:eastAsia="仿宋_GB2312"/>
          <w:color w:val="000000"/>
          <w:kern w:val="0"/>
          <w:sz w:val="32"/>
          <w:szCs w:val="32"/>
        </w:rPr>
        <w:t>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楷体_GB2312"/>
          <w:bCs/>
          <w:sz w:val="32"/>
          <w:szCs w:val="32"/>
        </w:rPr>
        <w:t>（八）基本支出：</w:t>
      </w:r>
      <w:r>
        <w:rPr>
          <w:rFonts w:eastAsia="仿宋_GB2312"/>
          <w:color w:val="000000"/>
          <w:kern w:val="0"/>
          <w:sz w:val="32"/>
          <w:szCs w:val="32"/>
        </w:rPr>
        <w:t>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楷体_GB2312"/>
          <w:bCs/>
          <w:sz w:val="32"/>
          <w:szCs w:val="32"/>
        </w:rPr>
        <w:t>（九）项目支出：</w:t>
      </w:r>
      <w:r>
        <w:rPr>
          <w:rFonts w:eastAsia="仿宋_GB2312"/>
          <w:color w:val="000000"/>
          <w:kern w:val="0"/>
          <w:sz w:val="32"/>
          <w:szCs w:val="32"/>
        </w:rPr>
        <w:t>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楷体_GB2312"/>
          <w:bCs/>
          <w:sz w:val="32"/>
          <w:szCs w:val="32"/>
        </w:rPr>
        <w:t>（十）基本建设支出：</w:t>
      </w:r>
      <w:r>
        <w:rPr>
          <w:rFonts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楷体_GB2312"/>
          <w:bCs/>
          <w:sz w:val="32"/>
          <w:szCs w:val="32"/>
        </w:rPr>
        <w:t>（十一）其他资本性支出：</w:t>
      </w:r>
      <w:r>
        <w:rPr>
          <w:rFonts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楷体_GB2312"/>
          <w:bCs/>
          <w:sz w:val="32"/>
          <w:szCs w:val="32"/>
        </w:rPr>
        <w:t>（十二）“三公”经费</w:t>
      </w:r>
      <w:r>
        <w:rPr>
          <w:rFonts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楷体_GB2312"/>
          <w:bCs/>
          <w:sz w:val="32"/>
          <w:szCs w:val="32"/>
        </w:rPr>
        <w:t>（十三）其他交通费用：</w:t>
      </w:r>
      <w:r>
        <w:rPr>
          <w:rFonts w:eastAsia="仿宋_GB2312"/>
          <w:color w:val="000000"/>
          <w:kern w:val="0"/>
          <w:sz w:val="32"/>
          <w:szCs w:val="32"/>
        </w:rPr>
        <w:t>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楷体_GB2312"/>
          <w:bCs/>
          <w:sz w:val="32"/>
          <w:szCs w:val="32"/>
        </w:rPr>
        <w:t>（十四）公务用车购置</w:t>
      </w:r>
      <w:r>
        <w:rPr>
          <w:rFonts w:eastAsia="仿宋_GB2312"/>
          <w:color w:val="000000"/>
          <w:kern w:val="0"/>
          <w:sz w:val="32"/>
          <w:szCs w:val="32"/>
        </w:rPr>
        <w:t>：填列单位公务用车车辆购置支出（含车辆购置税）。</w:t>
      </w:r>
    </w:p>
    <w:p>
      <w:pPr>
        <w:spacing w:line="584" w:lineRule="exact"/>
        <w:ind w:firstLine="640" w:firstLineChars="200"/>
        <w:rPr>
          <w:rFonts w:eastAsia="仿宋_GB2312"/>
          <w:color w:val="000000"/>
          <w:kern w:val="0"/>
          <w:sz w:val="32"/>
          <w:szCs w:val="32"/>
        </w:rPr>
      </w:pPr>
      <w:r>
        <w:rPr>
          <w:rFonts w:eastAsia="楷体_GB2312"/>
          <w:bCs/>
          <w:sz w:val="32"/>
          <w:szCs w:val="32"/>
        </w:rPr>
        <w:t>（十五）其他交通工具购置</w:t>
      </w:r>
      <w:r>
        <w:rPr>
          <w:rFonts w:eastAsia="仿宋_GB2312"/>
          <w:color w:val="000000"/>
          <w:kern w:val="0"/>
          <w:sz w:val="32"/>
          <w:szCs w:val="32"/>
        </w:rPr>
        <w:t>：填列单位除公务用车外的其他各类交通工具（如船舶、飞机）购置支出（含车辆购置税）。</w:t>
      </w:r>
    </w:p>
    <w:p>
      <w:pPr>
        <w:ind w:firstLine="640" w:firstLineChars="200"/>
      </w:pPr>
      <w:r>
        <w:rPr>
          <w:rFonts w:eastAsia="楷体_GB2312"/>
          <w:bCs/>
          <w:sz w:val="32"/>
          <w:szCs w:val="32"/>
        </w:rPr>
        <w:t>（十六） 机关运行经费</w:t>
      </w:r>
      <w:r>
        <w:rPr>
          <w:rFonts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7E98F"/>
    <w:multiLevelType w:val="singleLevel"/>
    <w:tmpl w:val="F1F7E98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3EFE"/>
    <w:rsid w:val="00075850"/>
    <w:rsid w:val="00085768"/>
    <w:rsid w:val="00143EFE"/>
    <w:rsid w:val="002D57E1"/>
    <w:rsid w:val="0036554E"/>
    <w:rsid w:val="00637E7F"/>
    <w:rsid w:val="008C30F3"/>
    <w:rsid w:val="00A33F82"/>
    <w:rsid w:val="00AD2450"/>
    <w:rsid w:val="00E6364C"/>
    <w:rsid w:val="00EF7EC0"/>
    <w:rsid w:val="0FD446EE"/>
    <w:rsid w:val="193B7800"/>
    <w:rsid w:val="19C57475"/>
    <w:rsid w:val="1B313684"/>
    <w:rsid w:val="222E27AB"/>
    <w:rsid w:val="243A54A9"/>
    <w:rsid w:val="30CF6B9B"/>
    <w:rsid w:val="46ED4B29"/>
    <w:rsid w:val="4BAD560D"/>
    <w:rsid w:val="4D30007B"/>
    <w:rsid w:val="4DDE4A4C"/>
    <w:rsid w:val="4E02362B"/>
    <w:rsid w:val="4E9B2D66"/>
    <w:rsid w:val="4F1279BA"/>
    <w:rsid w:val="4FDA42FE"/>
    <w:rsid w:val="4FEC2D80"/>
    <w:rsid w:val="5034139F"/>
    <w:rsid w:val="520E69E1"/>
    <w:rsid w:val="747858D3"/>
    <w:rsid w:val="77455640"/>
    <w:rsid w:val="78FF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ascii="Times New Roman" w:hAnsi="Times New Roman" w:eastAsia="宋体" w:cs="Times New Roman"/>
      <w:b/>
      <w:bCs/>
      <w:kern w:val="44"/>
      <w:sz w:val="44"/>
      <w:szCs w:val="44"/>
    </w:rPr>
  </w:style>
  <w:style w:type="character" w:customStyle="1" w:styleId="10">
    <w:name w:val="标题 2 Char"/>
    <w:basedOn w:val="8"/>
    <w:link w:val="3"/>
    <w:qFormat/>
    <w:uiPriority w:val="9"/>
    <w:rPr>
      <w:rFonts w:ascii="Cambria" w:hAnsi="Cambria" w:eastAsia="宋体" w:cs="Times New Roman"/>
      <w:b/>
      <w:bCs/>
      <w:sz w:val="32"/>
      <w:szCs w:val="32"/>
    </w:rPr>
  </w:style>
  <w:style w:type="character" w:customStyle="1" w:styleId="11">
    <w:name w:val="标题 3 Char"/>
    <w:basedOn w:val="8"/>
    <w:link w:val="4"/>
    <w:qFormat/>
    <w:uiPriority w:val="9"/>
    <w:rPr>
      <w:rFonts w:ascii="Times New Roman" w:hAnsi="Times New Roman" w:eastAsia="宋体" w:cs="Times New Roman"/>
      <w:b/>
      <w:bCs/>
      <w:sz w:val="32"/>
      <w:szCs w:val="32"/>
    </w:rPr>
  </w:style>
  <w:style w:type="character" w:customStyle="1" w:styleId="12">
    <w:name w:val="页脚 Char"/>
    <w:basedOn w:val="8"/>
    <w:link w:val="5"/>
    <w:qFormat/>
    <w:uiPriority w:val="99"/>
    <w:rPr>
      <w:rFonts w:ascii="Times New Roman" w:hAnsi="Times New Roman" w:eastAsia="宋体" w:cs="Times New Roman"/>
      <w:sz w:val="18"/>
      <w:szCs w:val="18"/>
    </w:rPr>
  </w:style>
  <w:style w:type="character" w:customStyle="1" w:styleId="13">
    <w:name w:val="页眉 Char"/>
    <w:basedOn w:val="8"/>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收入决算</c:v>
                </c:pt>
              </c:strCache>
            </c:strRef>
          </c:tx>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5895.95</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支出决算</c:v>
                </c:pt>
              </c:strCache>
            </c:strRef>
          </c:tx>
          <c:explosion val="0"/>
          <c:dPt>
            <c:idx val="0"/>
            <c:bubble3D val="0"/>
          </c:dPt>
          <c:dPt>
            <c:idx val="1"/>
            <c:bubble3D val="0"/>
          </c:dPt>
          <c:dPt>
            <c:idx val="2"/>
            <c:bubble3D val="0"/>
          </c:dPt>
          <c:dLbls>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基本支出</c:v>
                </c:pt>
                <c:pt idx="1">
                  <c:v>项目支出</c:v>
                </c:pt>
                <c:pt idx="2">
                  <c:v>经营支出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892.1</c:v>
                </c:pt>
                <c:pt idx="1">
                  <c:v>5003.85</c:v>
                </c:pt>
                <c:pt idx="2">
                  <c:v>0</c:v>
                </c:pt>
              </c:numCache>
            </c:numRef>
          </c:val>
        </c:ser>
        <c:dLbls>
          <c:showLegendKey val="0"/>
          <c:showVal val="0"/>
          <c:showCatName val="0"/>
          <c:showSerName val="0"/>
          <c:showPercent val="1"/>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851</Words>
  <Characters>4851</Characters>
  <Lines>40</Lines>
  <Paragraphs>11</Paragraphs>
  <TotalTime>38</TotalTime>
  <ScaleCrop>false</ScaleCrop>
  <LinksUpToDate>false</LinksUpToDate>
  <CharactersWithSpaces>5691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dcterms:modified xsi:type="dcterms:W3CDTF">2019-03-04T08:38:28Z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