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hint="eastAsia" w:eastAsia="宋体"/>
          <w:sz w:val="44"/>
          <w:szCs w:val="44"/>
          <w:lang w:eastAsia="zh-CN"/>
        </w:rPr>
      </w:pPr>
      <w:r>
        <w:rPr>
          <w:b/>
          <w:sz w:val="44"/>
          <w:szCs w:val="44"/>
        </w:rPr>
        <w:t>廊坊市</w:t>
      </w:r>
      <w:r>
        <w:rPr>
          <w:rFonts w:hint="eastAsia"/>
          <w:b/>
          <w:sz w:val="44"/>
          <w:szCs w:val="44"/>
          <w:lang w:eastAsia="zh-CN"/>
        </w:rPr>
        <w:t>大城县妇幼保健站</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eastAsia="zh-CN"/>
        </w:rPr>
        <w:t>大城县妇幼保健站</w:t>
      </w:r>
      <w:r>
        <w:rPr>
          <w:rFonts w:eastAsia="黑体"/>
          <w:sz w:val="32"/>
          <w:szCs w:val="32"/>
        </w:rPr>
        <w:t>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大城县妇幼保健站</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大城县妇幼保健站</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1、婚检科通过民政部门积极配合，开展广泛宣传和提供优质服务，婚检率保持在98%以上。</w:t>
      </w:r>
    </w:p>
    <w:p>
      <w:pPr>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2、产前筛查科加大宣传力度，保证工作质量，确保产筛率达到80%以上，最大限度降低出生缺陷的发生。保证高风险和临界值孕妇上转率100%。</w:t>
      </w:r>
    </w:p>
    <w:p>
      <w:pPr>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3、儿童保健科新生儿代谢遗传疾病筛查率保持在95%以上。新生儿先天性心脏病、髋关节发育不良、先天性白内障三种疾病筛查率95%以上，与省儿童医院合作对我县先心病筛查异常患儿进行复查。</w:t>
      </w:r>
    </w:p>
    <w:p>
      <w:pPr>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4、儿童保健科</w:t>
      </w:r>
    </w:p>
    <w:p>
      <w:pPr>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联合县教育局组织相关人员对全县民办托幼机构的卫生保健工作进行督导检查，督促幼儿园按规范要求，建立健全各项规章制度和记录并逐项落实，强化保教人员的卫生保健意识，消除卫生安全隐患，确保托幼机构卫生保健工作落到实处，确保我县托幼机构无疫情发生。儿童入园体检率达到90%以上。保育人员体检率100%。</w:t>
      </w:r>
    </w:p>
    <w:p>
      <w:pPr>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5、妇女保健科完成201</w:t>
      </w:r>
      <w:r>
        <w:rPr>
          <w:rFonts w:hint="eastAsia" w:eastAsia="仿宋_GB2312" w:cs="Calibri"/>
          <w:sz w:val="32"/>
          <w:szCs w:val="32"/>
          <w:lang w:val="en-US" w:eastAsia="zh-CN"/>
        </w:rPr>
        <w:t>7</w:t>
      </w:r>
      <w:r>
        <w:rPr>
          <w:rFonts w:hint="default" w:ascii="Calibri" w:hAnsi="Calibri" w:eastAsia="仿宋_GB2312" w:cs="Calibri"/>
          <w:sz w:val="32"/>
          <w:szCs w:val="32"/>
        </w:rPr>
        <w:t>年妇女宫颈癌筛查年度工作任务</w:t>
      </w:r>
      <w:r>
        <w:rPr>
          <w:rFonts w:hint="eastAsia" w:eastAsia="仿宋_GB2312" w:cs="Calibri"/>
          <w:sz w:val="32"/>
          <w:szCs w:val="32"/>
          <w:lang w:val="en-US" w:eastAsia="zh-CN"/>
        </w:rPr>
        <w:t>8500</w:t>
      </w:r>
      <w:r>
        <w:rPr>
          <w:rFonts w:hint="default" w:ascii="Calibri" w:hAnsi="Calibri" w:eastAsia="仿宋_GB2312" w:cs="Calibri"/>
          <w:sz w:val="32"/>
          <w:szCs w:val="32"/>
        </w:rPr>
        <w:t>例。</w:t>
      </w:r>
    </w:p>
    <w:p>
      <w:pPr>
        <w:autoSpaceDE w:val="0"/>
        <w:autoSpaceDN w:val="0"/>
        <w:adjustRightInd w:val="0"/>
        <w:spacing w:line="584" w:lineRule="exact"/>
        <w:jc w:val="left"/>
        <w:rPr>
          <w:rFonts w:eastAsia="仿宋_GB2312"/>
          <w:kern w:val="0"/>
          <w:sz w:val="32"/>
          <w:szCs w:val="32"/>
        </w:rPr>
      </w:pPr>
      <w:r>
        <w:rPr>
          <w:rFonts w:hint="default" w:ascii="Calibri" w:hAnsi="Calibri" w:eastAsia="仿宋_GB2312" w:cs="Calibri"/>
          <w:sz w:val="32"/>
          <w:szCs w:val="32"/>
        </w:rPr>
        <w:t>6、乳腺科完成201</w:t>
      </w:r>
      <w:r>
        <w:rPr>
          <w:rFonts w:hint="eastAsia" w:eastAsia="仿宋_GB2312" w:cs="Calibri"/>
          <w:sz w:val="32"/>
          <w:szCs w:val="32"/>
          <w:lang w:val="en-US" w:eastAsia="zh-CN"/>
        </w:rPr>
        <w:t>7</w:t>
      </w:r>
      <w:r>
        <w:rPr>
          <w:rFonts w:hint="default" w:ascii="Calibri" w:hAnsi="Calibri" w:eastAsia="仿宋_GB2312" w:cs="Calibri"/>
          <w:sz w:val="32"/>
          <w:szCs w:val="32"/>
        </w:rPr>
        <w:t>年妇女乳腺癌筛查年度工作任务7</w:t>
      </w:r>
      <w:r>
        <w:rPr>
          <w:rFonts w:hint="eastAsia" w:eastAsia="仿宋_GB2312" w:cs="Calibri"/>
          <w:sz w:val="32"/>
          <w:szCs w:val="32"/>
          <w:lang w:val="en-US" w:eastAsia="zh-CN"/>
        </w:rPr>
        <w:t>29</w:t>
      </w:r>
      <w:r>
        <w:rPr>
          <w:rFonts w:hint="default" w:ascii="Calibri" w:hAnsi="Calibri" w:eastAsia="仿宋_GB2312" w:cs="Calibri"/>
          <w:sz w:val="32"/>
          <w:szCs w:val="32"/>
        </w:rPr>
        <w:t>例。</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p>
      <w:pPr>
        <w:autoSpaceDE w:val="0"/>
        <w:autoSpaceDN w:val="0"/>
        <w:adjustRightInd w:val="0"/>
        <w:spacing w:line="584" w:lineRule="exact"/>
        <w:ind w:firstLine="640" w:firstLineChars="200"/>
        <w:jc w:val="left"/>
        <w:rPr>
          <w:rFonts w:hint="eastAsia" w:eastAsia="仿宋_GB2312"/>
          <w:kern w:val="0"/>
          <w:sz w:val="32"/>
          <w:szCs w:val="32"/>
          <w:lang w:eastAsia="zh-CN"/>
        </w:rPr>
      </w:pPr>
      <w:r>
        <w:rPr>
          <w:rFonts w:eastAsia="仿宋_GB2312"/>
          <w:kern w:val="0"/>
          <w:sz w:val="32"/>
          <w:szCs w:val="32"/>
        </w:rPr>
        <w:t xml:space="preserve">2017 年度，纳入本部门决算汇编范围的独立核算单位共 </w:t>
      </w:r>
      <w:r>
        <w:rPr>
          <w:rFonts w:hint="eastAsia" w:eastAsia="仿宋_GB2312"/>
          <w:kern w:val="0"/>
          <w:sz w:val="32"/>
          <w:szCs w:val="32"/>
          <w:lang w:val="en-US" w:eastAsia="zh-CN"/>
        </w:rPr>
        <w:t>1</w:t>
      </w:r>
      <w:r>
        <w:rPr>
          <w:rFonts w:eastAsia="仿宋_GB2312"/>
          <w:kern w:val="0"/>
          <w:sz w:val="32"/>
          <w:szCs w:val="32"/>
        </w:rPr>
        <w:t xml:space="preserve"> 个</w:t>
      </w:r>
      <w:r>
        <w:rPr>
          <w:rFonts w:hint="eastAsia" w:eastAsia="仿宋_GB2312"/>
          <w:kern w:val="0"/>
          <w:sz w:val="32"/>
          <w:szCs w:val="32"/>
          <w:lang w:eastAsia="zh-CN"/>
        </w:rPr>
        <w:t>。</w:t>
      </w:r>
    </w:p>
    <w:tbl>
      <w:tblPr>
        <w:tblStyle w:val="8"/>
        <w:tblW w:w="9800"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47"/>
        <w:gridCol w:w="2156"/>
        <w:gridCol w:w="1611"/>
        <w:gridCol w:w="25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tblHeader/>
          <w:jc w:val="center"/>
        </w:trPr>
        <w:tc>
          <w:tcPr>
            <w:tcW w:w="3447" w:type="dxa"/>
            <w:vMerge w:val="restart"/>
            <w:vAlign w:val="center"/>
          </w:tcPr>
          <w:p>
            <w:pPr>
              <w:spacing w:line="3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单位名称</w:t>
            </w:r>
          </w:p>
        </w:tc>
        <w:tc>
          <w:tcPr>
            <w:tcW w:w="2156" w:type="dxa"/>
            <w:vMerge w:val="restart"/>
            <w:vAlign w:val="center"/>
          </w:tcPr>
          <w:p>
            <w:pPr>
              <w:spacing w:line="3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单位性质</w:t>
            </w:r>
          </w:p>
        </w:tc>
        <w:tc>
          <w:tcPr>
            <w:tcW w:w="1611" w:type="dxa"/>
            <w:vMerge w:val="restart"/>
            <w:vAlign w:val="center"/>
          </w:tcPr>
          <w:p>
            <w:pPr>
              <w:spacing w:line="3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单位规格</w:t>
            </w:r>
          </w:p>
        </w:tc>
        <w:tc>
          <w:tcPr>
            <w:tcW w:w="2586" w:type="dxa"/>
            <w:vMerge w:val="restart"/>
            <w:vAlign w:val="center"/>
          </w:tcPr>
          <w:p>
            <w:pPr>
              <w:spacing w:line="3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tblHeader/>
          <w:jc w:val="center"/>
        </w:trPr>
        <w:tc>
          <w:tcPr>
            <w:tcW w:w="3447" w:type="dxa"/>
            <w:vMerge w:val="continue"/>
            <w:vAlign w:val="center"/>
          </w:tcPr>
          <w:p>
            <w:pPr>
              <w:spacing w:line="300" w:lineRule="exact"/>
              <w:jc w:val="left"/>
              <w:outlineLvl w:val="0"/>
              <w:rPr>
                <w:rFonts w:hint="eastAsia" w:ascii="仿宋_GB2312" w:hAnsi="仿宋_GB2312" w:eastAsia="仿宋_GB2312" w:cs="仿宋_GB2312"/>
                <w:sz w:val="32"/>
                <w:szCs w:val="32"/>
              </w:rPr>
            </w:pPr>
          </w:p>
        </w:tc>
        <w:tc>
          <w:tcPr>
            <w:tcW w:w="2156" w:type="dxa"/>
            <w:vMerge w:val="continue"/>
            <w:vAlign w:val="center"/>
          </w:tcPr>
          <w:p>
            <w:pPr>
              <w:spacing w:line="300" w:lineRule="exact"/>
              <w:jc w:val="left"/>
              <w:outlineLvl w:val="0"/>
              <w:rPr>
                <w:rFonts w:hint="eastAsia" w:ascii="仿宋_GB2312" w:hAnsi="仿宋_GB2312" w:eastAsia="仿宋_GB2312" w:cs="仿宋_GB2312"/>
                <w:sz w:val="32"/>
                <w:szCs w:val="32"/>
              </w:rPr>
            </w:pPr>
          </w:p>
        </w:tc>
        <w:tc>
          <w:tcPr>
            <w:tcW w:w="1611" w:type="dxa"/>
            <w:vMerge w:val="continue"/>
            <w:vAlign w:val="center"/>
          </w:tcPr>
          <w:p>
            <w:pPr>
              <w:spacing w:line="300" w:lineRule="exact"/>
              <w:jc w:val="left"/>
              <w:outlineLvl w:val="0"/>
              <w:rPr>
                <w:rFonts w:hint="eastAsia" w:ascii="仿宋_GB2312" w:hAnsi="仿宋_GB2312" w:eastAsia="仿宋_GB2312" w:cs="仿宋_GB2312"/>
                <w:sz w:val="32"/>
                <w:szCs w:val="32"/>
              </w:rPr>
            </w:pPr>
          </w:p>
        </w:tc>
        <w:tc>
          <w:tcPr>
            <w:tcW w:w="2586" w:type="dxa"/>
            <w:vMerge w:val="continue"/>
            <w:vAlign w:val="center"/>
          </w:tcPr>
          <w:p>
            <w:pPr>
              <w:spacing w:line="300" w:lineRule="exact"/>
              <w:jc w:val="left"/>
              <w:outlineLvl w:val="0"/>
              <w:rPr>
                <w:rFonts w:hint="eastAsia"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2" w:hRule="atLeast"/>
          <w:jc w:val="center"/>
        </w:trPr>
        <w:tc>
          <w:tcPr>
            <w:tcW w:w="3447" w:type="dxa"/>
            <w:vAlign w:val="center"/>
          </w:tcPr>
          <w:p>
            <w:pPr>
              <w:spacing w:line="3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大城县妇幼保健站</w:t>
            </w:r>
          </w:p>
        </w:tc>
        <w:tc>
          <w:tcPr>
            <w:tcW w:w="2156" w:type="dxa"/>
            <w:vAlign w:val="center"/>
          </w:tcPr>
          <w:p>
            <w:pPr>
              <w:spacing w:line="3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w:t>
            </w:r>
          </w:p>
        </w:tc>
        <w:tc>
          <w:tcPr>
            <w:tcW w:w="1611" w:type="dxa"/>
            <w:vAlign w:val="center"/>
          </w:tcPr>
          <w:p>
            <w:pPr>
              <w:spacing w:line="3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股级</w:t>
            </w:r>
          </w:p>
        </w:tc>
        <w:tc>
          <w:tcPr>
            <w:tcW w:w="2586" w:type="dxa"/>
            <w:vAlign w:val="center"/>
          </w:tcPr>
          <w:p>
            <w:pPr>
              <w:spacing w:line="3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财政性资金基本保证</w:t>
            </w:r>
          </w:p>
        </w:tc>
      </w:tr>
    </w:tbl>
    <w:p>
      <w:pPr>
        <w:autoSpaceDE w:val="0"/>
        <w:autoSpaceDN w:val="0"/>
        <w:adjustRightInd w:val="0"/>
        <w:spacing w:line="584" w:lineRule="exact"/>
        <w:ind w:firstLine="640" w:firstLineChars="200"/>
        <w:jc w:val="left"/>
        <w:rPr>
          <w:rFonts w:hint="eastAsia" w:eastAsia="仿宋_GB2312"/>
          <w:kern w:val="0"/>
          <w:sz w:val="32"/>
          <w:szCs w:val="32"/>
          <w:lang w:eastAsia="zh-CN"/>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spacing w:line="584" w:lineRule="exact"/>
        <w:jc w:val="center"/>
        <w:rPr>
          <w:b/>
          <w:bCs/>
          <w:kern w:val="0"/>
          <w:sz w:val="44"/>
          <w:szCs w:val="44"/>
        </w:rPr>
        <w:sectPr>
          <w:pgSz w:w="11906" w:h="16838"/>
          <w:pgMar w:top="1985" w:right="1531" w:bottom="1985" w:left="1531" w:header="851" w:footer="992" w:gutter="0"/>
          <w:cols w:space="425" w:num="1"/>
          <w:docGrid w:type="lines" w:linePitch="312" w:charSpace="0"/>
        </w:sectPr>
      </w:pPr>
    </w:p>
    <w:p>
      <w:pPr>
        <w:pStyle w:val="2"/>
        <w:spacing w:before="0" w:after="0" w:line="584" w:lineRule="exact"/>
        <w:jc w:val="both"/>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2013.07</w:t>
      </w:r>
      <w:r>
        <w:rPr>
          <w:rFonts w:eastAsia="仿宋_GB2312"/>
          <w:sz w:val="32"/>
          <w:szCs w:val="32"/>
        </w:rPr>
        <w:t>万元；本年支出</w:t>
      </w:r>
      <w:r>
        <w:rPr>
          <w:rFonts w:hint="eastAsia" w:eastAsia="仿宋_GB2312"/>
          <w:sz w:val="32"/>
          <w:szCs w:val="32"/>
          <w:lang w:val="en-US" w:eastAsia="zh-CN"/>
        </w:rPr>
        <w:t>2013.07</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万元。与2016年度决算相比，本年收入增加</w:t>
      </w:r>
      <w:r>
        <w:rPr>
          <w:rFonts w:hint="eastAsia" w:eastAsia="仿宋_GB2312"/>
          <w:sz w:val="32"/>
          <w:szCs w:val="32"/>
          <w:lang w:val="en-US" w:eastAsia="zh-CN"/>
        </w:rPr>
        <w:t>667.87</w:t>
      </w:r>
      <w:r>
        <w:rPr>
          <w:rFonts w:eastAsia="仿宋_GB2312"/>
          <w:sz w:val="32"/>
          <w:szCs w:val="32"/>
        </w:rPr>
        <w:t>万元，增长</w:t>
      </w:r>
      <w:r>
        <w:rPr>
          <w:rFonts w:hint="eastAsia" w:eastAsia="仿宋_GB2312"/>
          <w:sz w:val="32"/>
          <w:szCs w:val="32"/>
          <w:lang w:val="en-US" w:eastAsia="zh-CN"/>
        </w:rPr>
        <w:t>33</w:t>
      </w:r>
      <w:r>
        <w:rPr>
          <w:rFonts w:eastAsia="仿宋_GB2312"/>
          <w:sz w:val="32"/>
          <w:szCs w:val="32"/>
        </w:rPr>
        <w:t>%，主要是</w:t>
      </w:r>
      <w:r>
        <w:rPr>
          <w:rFonts w:hint="default" w:ascii="Calibri" w:hAnsi="Calibri" w:eastAsia="仿宋_GB2312" w:cs="Calibri"/>
          <w:sz w:val="32"/>
          <w:szCs w:val="32"/>
        </w:rPr>
        <w:t>本年度职工工资调整，</w:t>
      </w:r>
      <w:r>
        <w:rPr>
          <w:rFonts w:hint="eastAsia" w:ascii="Calibri" w:hAnsi="Calibri" w:eastAsia="仿宋_GB2312" w:cs="Calibri"/>
          <w:sz w:val="32"/>
          <w:szCs w:val="32"/>
          <w:lang w:eastAsia="zh-CN"/>
        </w:rPr>
        <w:t>精神文明奖，专项资金（婚检费、孕产妇产前筛查、母婴保健疾病筛查、孕妇学校、出生证），基础设施（病房、手术室、产房）提升改造和购置彩超一台，业务量增大</w:t>
      </w:r>
      <w:r>
        <w:rPr>
          <w:rFonts w:eastAsia="仿宋_GB2312"/>
          <w:sz w:val="32"/>
          <w:szCs w:val="32"/>
        </w:rPr>
        <w:t>；本年支出增加</w:t>
      </w:r>
      <w:r>
        <w:rPr>
          <w:rFonts w:hint="eastAsia" w:eastAsia="仿宋_GB2312"/>
          <w:sz w:val="32"/>
          <w:szCs w:val="32"/>
          <w:lang w:val="en-US" w:eastAsia="zh-CN"/>
        </w:rPr>
        <w:t>667.87</w:t>
      </w:r>
      <w:r>
        <w:rPr>
          <w:rFonts w:eastAsia="仿宋_GB2312"/>
          <w:sz w:val="32"/>
          <w:szCs w:val="32"/>
        </w:rPr>
        <w:t>万元，增长</w:t>
      </w:r>
      <w:r>
        <w:rPr>
          <w:rFonts w:hint="eastAsia" w:eastAsia="仿宋_GB2312"/>
          <w:sz w:val="32"/>
          <w:szCs w:val="32"/>
          <w:lang w:val="en-US" w:eastAsia="zh-CN"/>
        </w:rPr>
        <w:t>33</w:t>
      </w:r>
      <w:r>
        <w:rPr>
          <w:rFonts w:eastAsia="仿宋_GB2312"/>
          <w:sz w:val="32"/>
          <w:szCs w:val="32"/>
        </w:rPr>
        <w:t>%，主要是</w:t>
      </w:r>
      <w:r>
        <w:rPr>
          <w:rFonts w:hint="default" w:ascii="Calibri" w:hAnsi="Calibri" w:eastAsia="仿宋_GB2312" w:cs="Calibri"/>
          <w:sz w:val="32"/>
          <w:szCs w:val="32"/>
        </w:rPr>
        <w:t>本年度职工工资调整，</w:t>
      </w:r>
      <w:r>
        <w:rPr>
          <w:rFonts w:hint="eastAsia" w:ascii="Calibri" w:hAnsi="Calibri" w:eastAsia="仿宋_GB2312" w:cs="Calibri"/>
          <w:sz w:val="32"/>
          <w:szCs w:val="32"/>
          <w:lang w:eastAsia="zh-CN"/>
        </w:rPr>
        <w:t>精神文明奖，专项资金（婚检费、孕产妇产前筛查、母婴保健疾病筛查、孕妇学校、出生证），基础设施（病房、手术室、产房）提升改造和购置彩超一台，业务量增大</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jc w:val="center"/>
        <w:rPr>
          <w:rFonts w:hint="eastAsia" w:eastAsia="仿宋_GB2312"/>
          <w:sz w:val="32"/>
          <w:szCs w:val="32"/>
          <w:lang w:val="en-US" w:eastAsia="zh-CN"/>
        </w:rPr>
      </w:pPr>
      <w:r>
        <w:rPr>
          <w:rFonts w:eastAsia="仿宋_GB2312"/>
          <w:sz w:val="32"/>
          <w:szCs w:val="32"/>
        </w:rPr>
        <w:t>本部门2017年度本年收入合计</w:t>
      </w:r>
      <w:r>
        <w:rPr>
          <w:rFonts w:hint="eastAsia" w:eastAsia="仿宋_GB2312"/>
          <w:sz w:val="32"/>
          <w:szCs w:val="32"/>
          <w:lang w:val="en-US" w:eastAsia="zh-CN"/>
        </w:rPr>
        <w:t>2013.07</w:t>
      </w:r>
      <w:r>
        <w:rPr>
          <w:rFonts w:eastAsia="仿宋_GB2312"/>
          <w:sz w:val="32"/>
          <w:szCs w:val="32"/>
        </w:rPr>
        <w:t>万元，其中：财政拨款收入</w:t>
      </w:r>
      <w:r>
        <w:rPr>
          <w:rFonts w:hint="eastAsia" w:eastAsia="仿宋_GB2312"/>
          <w:sz w:val="32"/>
          <w:szCs w:val="32"/>
          <w:lang w:val="en-US" w:eastAsia="zh-CN"/>
        </w:rPr>
        <w:t>736.03</w:t>
      </w:r>
      <w:r>
        <w:rPr>
          <w:rFonts w:eastAsia="仿宋_GB2312"/>
          <w:sz w:val="32"/>
          <w:szCs w:val="32"/>
        </w:rPr>
        <w:t>万元，占</w:t>
      </w:r>
      <w:r>
        <w:rPr>
          <w:rFonts w:hint="eastAsia" w:eastAsia="仿宋_GB2312"/>
          <w:sz w:val="32"/>
          <w:szCs w:val="32"/>
          <w:lang w:val="en-US" w:eastAsia="zh-CN"/>
        </w:rPr>
        <w:t>36</w:t>
      </w:r>
      <w:r>
        <w:rPr>
          <w:rFonts w:eastAsia="仿宋_GB2312"/>
          <w:sz w:val="32"/>
          <w:szCs w:val="32"/>
        </w:rPr>
        <w:t>%；事业收入</w:t>
      </w:r>
      <w:r>
        <w:rPr>
          <w:rFonts w:hint="eastAsia" w:eastAsia="仿宋_GB2312"/>
          <w:sz w:val="32"/>
          <w:szCs w:val="32"/>
          <w:lang w:val="en-US" w:eastAsia="zh-CN"/>
        </w:rPr>
        <w:t>1277.04</w:t>
      </w:r>
      <w:r>
        <w:rPr>
          <w:rFonts w:eastAsia="仿宋_GB2312"/>
          <w:sz w:val="32"/>
          <w:szCs w:val="32"/>
        </w:rPr>
        <w:t>万元，占</w:t>
      </w:r>
      <w:r>
        <w:rPr>
          <w:rFonts w:hint="eastAsia" w:eastAsia="仿宋_GB2312"/>
          <w:sz w:val="32"/>
          <w:szCs w:val="32"/>
          <w:lang w:val="en-US" w:eastAsia="zh-CN"/>
        </w:rPr>
        <w:t>64</w:t>
      </w:r>
      <w:r>
        <w:rPr>
          <w:rFonts w:eastAsia="仿宋_GB2312"/>
          <w:sz w:val="32"/>
          <w:szCs w:val="32"/>
        </w:rPr>
        <w:t>%；经营收入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%；其他收入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adjustRightInd w:val="0"/>
        <w:snapToGrid w:val="0"/>
        <w:spacing w:line="584" w:lineRule="exact"/>
        <w:ind w:firstLine="1920" w:firstLineChars="600"/>
        <w:rPr>
          <w:rFonts w:eastAsia="仿宋_GB2312"/>
          <w:sz w:val="32"/>
          <w:szCs w:val="32"/>
        </w:rPr>
      </w:pPr>
      <w:r>
        <w:rPr>
          <w:rFonts w:eastAsia="仿宋_GB2312"/>
          <w:sz w:val="32"/>
          <w:szCs w:val="32"/>
        </w:rPr>
        <w:t>本部门2017年度本年支出合计</w:t>
      </w:r>
      <w:r>
        <w:rPr>
          <w:rFonts w:hint="eastAsia" w:eastAsia="仿宋_GB2312"/>
          <w:sz w:val="32"/>
          <w:szCs w:val="32"/>
          <w:lang w:val="en-US" w:eastAsia="zh-CN"/>
        </w:rPr>
        <w:t>2013.07</w:t>
      </w:r>
      <w:r>
        <w:rPr>
          <w:rFonts w:eastAsia="仿宋_GB2312"/>
          <w:sz w:val="32"/>
          <w:szCs w:val="32"/>
        </w:rPr>
        <w:t>万元，其中：基本支出</w:t>
      </w:r>
      <w:r>
        <w:rPr>
          <w:rFonts w:hint="eastAsia" w:eastAsia="仿宋_GB2312"/>
          <w:sz w:val="32"/>
          <w:szCs w:val="32"/>
          <w:lang w:val="en-US" w:eastAsia="zh-CN"/>
        </w:rPr>
        <w:t>1353.04</w:t>
      </w:r>
      <w:r>
        <w:rPr>
          <w:rFonts w:eastAsia="仿宋_GB2312"/>
          <w:sz w:val="32"/>
          <w:szCs w:val="32"/>
        </w:rPr>
        <w:t>万元，占</w:t>
      </w:r>
      <w:r>
        <w:rPr>
          <w:rFonts w:hint="eastAsia" w:eastAsia="仿宋_GB2312"/>
          <w:sz w:val="32"/>
          <w:szCs w:val="32"/>
          <w:lang w:val="en-US" w:eastAsia="zh-CN"/>
        </w:rPr>
        <w:t>68</w:t>
      </w:r>
      <w:r>
        <w:rPr>
          <w:rFonts w:eastAsia="仿宋_GB2312"/>
          <w:sz w:val="32"/>
          <w:szCs w:val="32"/>
        </w:rPr>
        <w:t>%；项目支出</w:t>
      </w:r>
      <w:r>
        <w:rPr>
          <w:rFonts w:hint="eastAsia" w:eastAsia="仿宋_GB2312"/>
          <w:sz w:val="32"/>
          <w:szCs w:val="32"/>
          <w:lang w:val="en-US" w:eastAsia="zh-CN"/>
        </w:rPr>
        <w:t>660.03</w:t>
      </w:r>
      <w:r>
        <w:rPr>
          <w:rFonts w:eastAsia="仿宋_GB2312"/>
          <w:sz w:val="32"/>
          <w:szCs w:val="32"/>
        </w:rPr>
        <w:t>万元，占</w:t>
      </w:r>
      <w:r>
        <w:rPr>
          <w:rFonts w:hint="eastAsia" w:eastAsia="仿宋_GB2312"/>
          <w:sz w:val="32"/>
          <w:szCs w:val="32"/>
          <w:lang w:val="en-US" w:eastAsia="zh-CN"/>
        </w:rPr>
        <w:t>32</w:t>
      </w:r>
      <w:r>
        <w:rPr>
          <w:rFonts w:eastAsia="仿宋_GB2312"/>
          <w:sz w:val="32"/>
          <w:szCs w:val="32"/>
        </w:rPr>
        <w:t>%；经营支出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本部门2017年度财政拨款收支全部为一般公共预算财政拨款收支。一般公共预算财政拨款年初结转和结余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736.03</w:t>
      </w:r>
      <w:r>
        <w:rPr>
          <w:rFonts w:eastAsia="仿宋_GB2312"/>
          <w:sz w:val="32"/>
          <w:szCs w:val="32"/>
        </w:rPr>
        <w:t>万元；本年支出</w:t>
      </w:r>
      <w:r>
        <w:rPr>
          <w:rFonts w:hint="eastAsia" w:eastAsia="仿宋_GB2312"/>
          <w:sz w:val="32"/>
          <w:szCs w:val="32"/>
          <w:lang w:val="en-US" w:eastAsia="zh-CN"/>
        </w:rPr>
        <w:t>736.03</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万元。与2016年度决算相比，一般公共预算财政拨款本年收入增加</w:t>
      </w:r>
      <w:r>
        <w:rPr>
          <w:rFonts w:hint="eastAsia" w:eastAsia="仿宋_GB2312"/>
          <w:sz w:val="32"/>
          <w:szCs w:val="32"/>
          <w:lang w:val="en-US" w:eastAsia="zh-CN"/>
        </w:rPr>
        <w:t>276.63</w:t>
      </w:r>
      <w:r>
        <w:rPr>
          <w:rFonts w:eastAsia="仿宋_GB2312"/>
          <w:sz w:val="32"/>
          <w:szCs w:val="32"/>
        </w:rPr>
        <w:t>万元，增长</w:t>
      </w:r>
      <w:r>
        <w:rPr>
          <w:rFonts w:hint="eastAsia" w:eastAsia="仿宋_GB2312"/>
          <w:sz w:val="32"/>
          <w:szCs w:val="32"/>
          <w:lang w:val="en-US" w:eastAsia="zh-CN"/>
        </w:rPr>
        <w:t>37.6</w:t>
      </w:r>
      <w:r>
        <w:rPr>
          <w:rFonts w:eastAsia="仿宋_GB2312"/>
          <w:sz w:val="32"/>
          <w:szCs w:val="32"/>
        </w:rPr>
        <w:t>%，主要原因是</w:t>
      </w:r>
      <w:r>
        <w:rPr>
          <w:rFonts w:hint="eastAsia" w:eastAsia="仿宋_GB2312"/>
          <w:sz w:val="32"/>
          <w:szCs w:val="32"/>
          <w:lang w:eastAsia="zh-CN"/>
        </w:rPr>
        <w:t>基础设施提升改造和购置彩超一台</w:t>
      </w:r>
      <w:r>
        <w:rPr>
          <w:rFonts w:eastAsia="仿宋_GB2312"/>
          <w:sz w:val="32"/>
          <w:szCs w:val="32"/>
        </w:rPr>
        <w:t>；本年支出增加</w:t>
      </w:r>
      <w:r>
        <w:rPr>
          <w:rFonts w:hint="eastAsia" w:eastAsia="仿宋_GB2312"/>
          <w:sz w:val="32"/>
          <w:szCs w:val="32"/>
          <w:lang w:val="en-US" w:eastAsia="zh-CN"/>
        </w:rPr>
        <w:t>276.63</w:t>
      </w:r>
      <w:r>
        <w:rPr>
          <w:rFonts w:eastAsia="仿宋_GB2312"/>
          <w:sz w:val="32"/>
          <w:szCs w:val="32"/>
        </w:rPr>
        <w:t>万元，增长</w:t>
      </w:r>
      <w:r>
        <w:rPr>
          <w:rFonts w:hint="eastAsia" w:eastAsia="仿宋_GB2312"/>
          <w:sz w:val="32"/>
          <w:szCs w:val="32"/>
          <w:lang w:val="en-US" w:eastAsia="zh-CN"/>
        </w:rPr>
        <w:t>37.6</w:t>
      </w:r>
      <w:r>
        <w:rPr>
          <w:rFonts w:eastAsia="仿宋_GB2312"/>
          <w:sz w:val="32"/>
          <w:szCs w:val="32"/>
        </w:rPr>
        <w:t>%，主要是原因是</w:t>
      </w:r>
      <w:r>
        <w:rPr>
          <w:rFonts w:hint="eastAsia" w:eastAsia="仿宋_GB2312"/>
          <w:sz w:val="32"/>
          <w:szCs w:val="32"/>
          <w:lang w:eastAsia="zh-CN"/>
        </w:rPr>
        <w:t>基础设施提升改造和购置彩超一台</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本部门2017年度财政拨款本年收入较201</w:t>
      </w:r>
      <w:r>
        <w:rPr>
          <w:rFonts w:hint="eastAsia" w:eastAsia="仿宋_GB2312"/>
          <w:sz w:val="32"/>
          <w:szCs w:val="32"/>
          <w:lang w:val="en-US" w:eastAsia="zh-CN"/>
        </w:rPr>
        <w:t>7</w:t>
      </w:r>
      <w:r>
        <w:rPr>
          <w:rFonts w:eastAsia="仿宋_GB2312"/>
          <w:sz w:val="32"/>
          <w:szCs w:val="32"/>
        </w:rPr>
        <w:t>年初预算增加</w:t>
      </w:r>
      <w:r>
        <w:rPr>
          <w:rFonts w:hint="eastAsia" w:eastAsia="仿宋_GB2312"/>
          <w:sz w:val="32"/>
          <w:szCs w:val="32"/>
          <w:lang w:val="en-US" w:eastAsia="zh-CN"/>
        </w:rPr>
        <w:t>478.08</w:t>
      </w:r>
      <w:r>
        <w:rPr>
          <w:rFonts w:eastAsia="仿宋_GB2312"/>
          <w:sz w:val="32"/>
          <w:szCs w:val="32"/>
        </w:rPr>
        <w:t>万元，增长</w:t>
      </w:r>
      <w:r>
        <w:rPr>
          <w:rFonts w:hint="eastAsia" w:eastAsia="仿宋_GB2312"/>
          <w:sz w:val="32"/>
          <w:szCs w:val="32"/>
          <w:lang w:val="en-US" w:eastAsia="zh-CN"/>
        </w:rPr>
        <w:t>64</w:t>
      </w:r>
      <w:r>
        <w:rPr>
          <w:rFonts w:eastAsia="仿宋_GB2312"/>
          <w:sz w:val="32"/>
          <w:szCs w:val="32"/>
        </w:rPr>
        <w:t>%，主要原因是</w:t>
      </w:r>
      <w:r>
        <w:rPr>
          <w:rFonts w:hint="default" w:ascii="Calibri" w:hAnsi="Calibri" w:eastAsia="仿宋_GB2312" w:cs="Calibri"/>
          <w:sz w:val="32"/>
          <w:szCs w:val="32"/>
        </w:rPr>
        <w:t>本年度职工工资调整，</w:t>
      </w:r>
      <w:r>
        <w:rPr>
          <w:rFonts w:hint="eastAsia" w:ascii="Calibri" w:hAnsi="Calibri" w:eastAsia="仿宋_GB2312" w:cs="Calibri"/>
          <w:sz w:val="32"/>
          <w:szCs w:val="32"/>
          <w:lang w:eastAsia="zh-CN"/>
        </w:rPr>
        <w:t>精神文明奖，专项资金（婚检费、孕产妇产前筛查、母婴保健疾病筛查、孕妇学校、出生证），基础设施（病房、手术室、产房）提升改造和购置彩超一台</w:t>
      </w:r>
      <w:r>
        <w:rPr>
          <w:rFonts w:eastAsia="仿宋_GB2312"/>
          <w:sz w:val="32"/>
          <w:szCs w:val="32"/>
        </w:rPr>
        <w:t>；本年支出增加</w:t>
      </w:r>
      <w:r>
        <w:rPr>
          <w:rFonts w:hint="eastAsia" w:eastAsia="仿宋_GB2312"/>
          <w:sz w:val="32"/>
          <w:szCs w:val="32"/>
          <w:lang w:val="en-US" w:eastAsia="zh-CN"/>
        </w:rPr>
        <w:t>478.08</w:t>
      </w:r>
      <w:r>
        <w:rPr>
          <w:rFonts w:eastAsia="仿宋_GB2312"/>
          <w:sz w:val="32"/>
          <w:szCs w:val="32"/>
        </w:rPr>
        <w:t>万元，增长</w:t>
      </w:r>
      <w:r>
        <w:rPr>
          <w:rFonts w:hint="eastAsia" w:eastAsia="仿宋_GB2312"/>
          <w:sz w:val="32"/>
          <w:szCs w:val="32"/>
          <w:lang w:val="en-US" w:eastAsia="zh-CN"/>
        </w:rPr>
        <w:t>64</w:t>
      </w:r>
      <w:r>
        <w:rPr>
          <w:rFonts w:eastAsia="仿宋_GB2312"/>
          <w:sz w:val="32"/>
          <w:szCs w:val="32"/>
        </w:rPr>
        <w:t>%，主要原因是</w:t>
      </w:r>
      <w:r>
        <w:rPr>
          <w:rFonts w:hint="default" w:ascii="Calibri" w:hAnsi="Calibri" w:eastAsia="仿宋_GB2312" w:cs="Calibri"/>
          <w:sz w:val="32"/>
          <w:szCs w:val="32"/>
        </w:rPr>
        <w:t>本年度职工工资调整，</w:t>
      </w:r>
      <w:r>
        <w:rPr>
          <w:rFonts w:hint="eastAsia" w:ascii="Calibri" w:hAnsi="Calibri" w:eastAsia="仿宋_GB2312" w:cs="Calibri"/>
          <w:sz w:val="32"/>
          <w:szCs w:val="32"/>
          <w:lang w:eastAsia="zh-CN"/>
        </w:rPr>
        <w:t>精神文明奖，专项资金（婚检费、孕产妇产前筛查、母婴保健疾病筛查、孕妇学校、出生证），基础设施（病房、手术室、产房）提升改造和购置彩超一台</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lang w:val="en-US" w:eastAsia="zh-CN"/>
        </w:rPr>
        <w:t>0</w:t>
      </w:r>
      <w:r>
        <w:rPr>
          <w:rFonts w:eastAsia="仿宋_GB2312"/>
          <w:sz w:val="32"/>
          <w:szCs w:val="32"/>
        </w:rPr>
        <w:t>万元，较年初预算增加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较年初预算无增减变化</w:t>
      </w:r>
      <w:r>
        <w:rPr>
          <w:rFonts w:eastAsia="仿宋_GB2312"/>
          <w:sz w:val="32"/>
          <w:szCs w:val="32"/>
        </w:rPr>
        <w:t>；较2016年度决算增加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w:t>
      </w:r>
      <w:r>
        <w:rPr>
          <w:rFonts w:hint="eastAsia" w:eastAsia="仿宋_GB2312"/>
          <w:sz w:val="32"/>
          <w:szCs w:val="32"/>
          <w:lang w:val="en-US" w:eastAsia="zh-CN"/>
        </w:rPr>
        <w:t>2016年度决算无增减变化</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lang w:val="en-US" w:eastAsia="zh-CN"/>
        </w:rPr>
        <w:t>0</w:t>
      </w:r>
      <w:r>
        <w:rPr>
          <w:rFonts w:eastAsia="仿宋_GB2312"/>
          <w:sz w:val="32"/>
          <w:szCs w:val="32"/>
        </w:rPr>
        <w:t>个，因公出国（境）人次数</w:t>
      </w:r>
      <w:r>
        <w:rPr>
          <w:rFonts w:hint="eastAsia" w:eastAsia="仿宋_GB2312"/>
          <w:sz w:val="32"/>
          <w:szCs w:val="32"/>
          <w:lang w:val="en-US" w:eastAsia="zh-CN"/>
        </w:rPr>
        <w:t>0</w:t>
      </w:r>
      <w:r>
        <w:rPr>
          <w:rFonts w:eastAsia="仿宋_GB2312"/>
          <w:sz w:val="32"/>
          <w:szCs w:val="32"/>
        </w:rPr>
        <w:t>人。因公出国（境）费支出较年初预算增加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w:t>
      </w:r>
      <w:r>
        <w:rPr>
          <w:rFonts w:hint="eastAsia" w:eastAsia="仿宋_GB2312"/>
          <w:sz w:val="32"/>
          <w:szCs w:val="32"/>
          <w:lang w:eastAsia="zh-CN"/>
        </w:rPr>
        <w:t>较年初预算无增减变化</w:t>
      </w:r>
      <w:r>
        <w:rPr>
          <w:rFonts w:eastAsia="仿宋_GB2312"/>
          <w:sz w:val="32"/>
          <w:szCs w:val="32"/>
        </w:rPr>
        <w:t>；较2016年度决算增加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w:t>
      </w:r>
      <w:r>
        <w:rPr>
          <w:rFonts w:hint="eastAsia" w:eastAsia="仿宋_GB2312"/>
          <w:sz w:val="32"/>
          <w:szCs w:val="32"/>
          <w:lang w:val="en-US" w:eastAsia="zh-CN"/>
        </w:rPr>
        <w:t>2016年度决算无增减变化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lang w:val="en-US" w:eastAsia="zh-CN"/>
        </w:rPr>
        <w:t>0</w:t>
      </w:r>
      <w:r>
        <w:rPr>
          <w:rFonts w:eastAsia="仿宋_GB2312"/>
          <w:sz w:val="32"/>
          <w:szCs w:val="32"/>
        </w:rPr>
        <w:t>辆。公务用车购置费支出较年初预算增加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未发生公务用车购置经费支出</w:t>
      </w:r>
      <w:r>
        <w:rPr>
          <w:rFonts w:eastAsia="仿宋_GB2312"/>
          <w:sz w:val="32"/>
          <w:szCs w:val="32"/>
        </w:rPr>
        <w:t>；较2016年度决算增加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w:t>
      </w:r>
      <w:r>
        <w:rPr>
          <w:rFonts w:hint="eastAsia" w:eastAsia="仿宋_GB2312"/>
          <w:sz w:val="32"/>
          <w:szCs w:val="32"/>
          <w:lang w:val="en-US" w:eastAsia="zh-CN"/>
        </w:rPr>
        <w:t>2016年度决算无增减变化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lang w:val="en-US" w:eastAsia="zh-CN"/>
        </w:rPr>
        <w:t>0</w:t>
      </w:r>
      <w:r>
        <w:rPr>
          <w:rFonts w:eastAsia="仿宋_GB2312"/>
          <w:sz w:val="32"/>
          <w:szCs w:val="32"/>
        </w:rPr>
        <w:t>辆。公车运行维护费支出较年初预算增加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较年初预算无增减变化</w:t>
      </w:r>
      <w:r>
        <w:rPr>
          <w:rFonts w:eastAsia="仿宋_GB2312"/>
          <w:sz w:val="32"/>
          <w:szCs w:val="32"/>
        </w:rPr>
        <w:t>；较2016年度决算增加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x%，主要原因是</w:t>
      </w:r>
      <w:r>
        <w:rPr>
          <w:rFonts w:hint="eastAsia" w:eastAsia="仿宋_GB2312"/>
          <w:sz w:val="32"/>
          <w:szCs w:val="32"/>
          <w:lang w:eastAsia="zh-CN"/>
        </w:rPr>
        <w:t>较</w:t>
      </w:r>
      <w:r>
        <w:rPr>
          <w:rFonts w:hint="eastAsia" w:eastAsia="仿宋_GB2312"/>
          <w:sz w:val="32"/>
          <w:szCs w:val="32"/>
          <w:lang w:val="en-US" w:eastAsia="zh-CN"/>
        </w:rPr>
        <w:t>2016年度决算无增减变化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人次。公务接待费支出较年初预算增加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较年初预算无增减变化</w:t>
      </w:r>
      <w:r>
        <w:rPr>
          <w:rFonts w:eastAsia="仿宋_GB2312"/>
          <w:sz w:val="32"/>
          <w:szCs w:val="32"/>
        </w:rPr>
        <w:t>；较2016年度决算增加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eastAsia="zh-CN"/>
        </w:rPr>
        <w:t>较</w:t>
      </w:r>
      <w:r>
        <w:rPr>
          <w:rFonts w:hint="eastAsia" w:eastAsia="仿宋_GB2312"/>
          <w:sz w:val="32"/>
          <w:szCs w:val="32"/>
          <w:lang w:val="en-US" w:eastAsia="zh-CN"/>
        </w:rPr>
        <w:t>2016年度决算无增减变化</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adjustRightInd w:val="0"/>
        <w:snapToGrid w:val="0"/>
        <w:spacing w:line="584" w:lineRule="exact"/>
        <w:ind w:firstLine="640" w:firstLineChars="200"/>
        <w:rPr>
          <w:rFonts w:eastAsia="仿宋_GB2312"/>
          <w:b w:val="0"/>
          <w:bCs w:val="0"/>
          <w:sz w:val="32"/>
          <w:szCs w:val="32"/>
        </w:rPr>
      </w:pPr>
      <w:r>
        <w:rPr>
          <w:rFonts w:eastAsia="仿宋_GB2312"/>
          <w:b w:val="0"/>
          <w:bCs w:val="0"/>
          <w:sz w:val="32"/>
          <w:szCs w:val="32"/>
        </w:rPr>
        <w:t>（一）绩效管理工作开展情况</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1、争取政府及相关部门的支持。加大健康教育宣传力度，提高群众的保健意识。</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 xml:space="preserve">2、进一步加强爱婴医院管理，提高产科服务质量。按照卫生部下发的《爱婴医院评估监督指南》要求，严格爱婴医院的规范服务。 </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3、加强县妇幼保健站建设，充分发挥妇幼保健指导中心作用，紧紧围绕妇女儿童、青少年及其他弱势群体的健康问题，加大创新力度，拓展妇幼保健项目，积极派人到上级妇幼保健机构及做得好的同级妇幼保健院学习，吸取和借鉴先进经验，抓好全县妇幼保健的创新工作，提高工作质量。继续抓好1-2个妇幼卫生示范乡镇，积极探索有效的管理机制，创新妇幼保健工作新亮点。</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4、加强出生缺陷防治，切实提高出生人口素质。按《廊坊市增补叶酸预防神经管缺陷项目实施方案》要求，做好增补叶酸预防神经管缺陷工作。同时继续为广大孕产妇开展HIV咨询、检测、产前筛查和新生儿疾病筛查工作。巩固新生儿疾病筛查、听力筛查成果，不断提高筛查率，增加筛查项目，从而减少出生缺陷的发生，提高出生人口素质。</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 xml:space="preserve">5、继续加强产科质量建设。重点抓好产科急救能力和技术水平的提高。 </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6、加强妇幼卫生信息建设，发挥信息利用价值，确保各类信息的采集及时、有效、准确，提高信息的应用效率，为制定全县、全市妇幼卫生工作方案提供科学依据。</w:t>
      </w:r>
    </w:p>
    <w:p>
      <w:pPr>
        <w:ind w:firstLine="560"/>
        <w:rPr>
          <w:rFonts w:hint="default" w:ascii="Calibri" w:hAnsi="Calibri" w:eastAsia="仿宋_GB2312" w:cs="Calibri"/>
          <w:sz w:val="32"/>
          <w:szCs w:val="32"/>
        </w:rPr>
      </w:pPr>
      <w:r>
        <w:rPr>
          <w:rFonts w:hint="default" w:ascii="Calibri" w:hAnsi="Calibri" w:eastAsia="仿宋_GB2312" w:cs="Calibri"/>
          <w:sz w:val="32"/>
          <w:szCs w:val="32"/>
        </w:rPr>
        <w:t>7、进一步加强儿童群体保健工作，积极拓展儿童保健服务领域，认真执行卫生部《儿童保健工作规范》，推动“托儿所、幼儿园”等相关儿童保健活动的规范开展，重点抓好营养不良患儿的干预。严格规范管理托幼机构，重点抓个体幼儿园的规范化管理，开展儿童常见病、多发病的调查，掌握发病现状，制定干预措施，保护儿童健康。</w:t>
      </w:r>
    </w:p>
    <w:p>
      <w:pPr>
        <w:adjustRightInd w:val="0"/>
        <w:snapToGrid w:val="0"/>
        <w:spacing w:line="584" w:lineRule="exact"/>
        <w:ind w:firstLine="640" w:firstLineChars="200"/>
        <w:rPr>
          <w:rFonts w:eastAsia="仿宋_GB2312"/>
          <w:sz w:val="32"/>
          <w:szCs w:val="32"/>
        </w:rPr>
      </w:pPr>
      <w:r>
        <w:rPr>
          <w:rFonts w:hint="default" w:ascii="Calibri" w:hAnsi="Calibri" w:eastAsia="仿宋_GB2312" w:cs="Calibri"/>
          <w:sz w:val="32"/>
          <w:szCs w:val="32"/>
        </w:rPr>
        <w:t>8、采取有效措施，提高妇幼队伍整体素质。一是各医疗单位要继续执行每年选派妇幼人员到上级医院轮训进修的制度。二是对妇产科人员进行全员培训，经常开展有针对性、适用性强的业务培训和大练兵，邀请省、市专家讲课，重点进行产科急危重症的业务培训，并进行急、难、重病例的讨论分析和专题讲座，提高一线医师的诊断处理水平，熟练掌握抢救技术，全面提高医师的救治水平。</w:t>
      </w:r>
    </w:p>
    <w:p>
      <w:pPr>
        <w:adjustRightInd w:val="0"/>
        <w:snapToGrid w:val="0"/>
        <w:spacing w:line="584" w:lineRule="exact"/>
        <w:ind w:firstLine="640" w:firstLineChars="200"/>
        <w:rPr>
          <w:rFonts w:eastAsia="仿宋_GB2312"/>
          <w:b w:val="0"/>
          <w:bCs w:val="0"/>
          <w:sz w:val="32"/>
          <w:szCs w:val="32"/>
        </w:rPr>
      </w:pPr>
      <w:r>
        <w:rPr>
          <w:rFonts w:eastAsia="仿宋_GB2312"/>
          <w:b w:val="0"/>
          <w:bCs w:val="0"/>
          <w:sz w:val="32"/>
          <w:szCs w:val="32"/>
        </w:rPr>
        <w:t>（二）预算项目绩效评价开展情况</w:t>
      </w:r>
    </w:p>
    <w:p>
      <w:pPr>
        <w:adjustRightInd w:val="0"/>
        <w:snapToGrid w:val="0"/>
        <w:spacing w:line="584" w:lineRule="exact"/>
        <w:ind w:firstLine="640" w:firstLineChars="200"/>
        <w:rPr>
          <w:rFonts w:eastAsia="仿宋_GB2312"/>
          <w:sz w:val="32"/>
          <w:szCs w:val="32"/>
        </w:rPr>
      </w:pPr>
      <w:r>
        <w:rPr>
          <w:rFonts w:hint="default" w:ascii="Calibri" w:hAnsi="Calibri" w:eastAsia="仿宋_GB2312" w:cs="Calibri"/>
          <w:sz w:val="32"/>
          <w:szCs w:val="32"/>
        </w:rPr>
        <w:t>公共卫生是保障人民大众身心健康的公共事业，包括提供基本公共卫生服务，疾病预防控制，对突发公共卫生事件的应急处置，促进妇女儿童健康，食品安全风险监测与地方标准制（修）订等各项工作。具体工作包括推进基本公共卫生服务均等化；控制各类重大疾病的发生与传播；有效应对我省突发公共卫生事件；保障妇女儿童身心健康。</w:t>
      </w:r>
    </w:p>
    <w:p>
      <w:pPr>
        <w:numPr>
          <w:ilvl w:val="0"/>
          <w:numId w:val="1"/>
        </w:numPr>
        <w:adjustRightInd w:val="0"/>
        <w:snapToGrid w:val="0"/>
        <w:spacing w:line="584" w:lineRule="exact"/>
        <w:ind w:firstLine="640" w:firstLineChars="200"/>
        <w:rPr>
          <w:rFonts w:eastAsia="仿宋_GB2312"/>
          <w:b w:val="0"/>
          <w:bCs w:val="0"/>
          <w:sz w:val="32"/>
          <w:szCs w:val="32"/>
        </w:rPr>
      </w:pPr>
      <w:r>
        <w:rPr>
          <w:rFonts w:eastAsia="仿宋_GB2312"/>
          <w:b w:val="0"/>
          <w:bCs w:val="0"/>
          <w:sz w:val="32"/>
          <w:szCs w:val="32"/>
        </w:rPr>
        <w:t>预算项目绩效自评选例</w:t>
      </w:r>
    </w:p>
    <w:p>
      <w:pPr>
        <w:numPr>
          <w:ilvl w:val="0"/>
          <w:numId w:val="0"/>
        </w:numPr>
        <w:adjustRightInd w:val="0"/>
        <w:snapToGrid w:val="0"/>
        <w:spacing w:line="584" w:lineRule="exact"/>
        <w:rPr>
          <w:rFonts w:hint="default" w:ascii="Calibri" w:hAnsi="Calibri" w:eastAsia="仿宋_GB2312" w:cs="Calibri"/>
          <w:sz w:val="32"/>
          <w:szCs w:val="32"/>
        </w:rPr>
      </w:pPr>
      <w:r>
        <w:rPr>
          <w:rFonts w:hint="default" w:ascii="Calibri" w:hAnsi="Calibri" w:eastAsia="仿宋_GB2312" w:cs="Calibri"/>
          <w:color w:val="000000"/>
          <w:sz w:val="32"/>
          <w:szCs w:val="32"/>
        </w:rPr>
        <w:t>妇幼健康服务。</w:t>
      </w:r>
      <w:r>
        <w:rPr>
          <w:rFonts w:hint="default" w:ascii="Calibri" w:hAnsi="Calibri" w:eastAsia="仿宋_GB2312" w:cs="Calibri"/>
          <w:sz w:val="32"/>
          <w:szCs w:val="32"/>
        </w:rPr>
        <w:t>落实中央妇幼健康服务项目，开展母婴保健、辅助生殖技术管理、妇幼保健机构评审、妇女儿童常见病和多发病防治、出生缺陷综合防治、妇幼健康优质服务县创建、出生医学证明等母婴保健法律证件管理、托幼机构卫生保健管理等各项工作。主要考核指标包括辖区内5岁儿童死亡率、早孕建卡率、新生儿甲低和苯丙酮尿症筛查率，孕产妇死亡率等项目。</w:t>
      </w:r>
    </w:p>
    <w:p>
      <w:pPr>
        <w:numPr>
          <w:ilvl w:val="0"/>
          <w:numId w:val="0"/>
        </w:numPr>
        <w:adjustRightInd w:val="0"/>
        <w:snapToGrid w:val="0"/>
        <w:spacing w:line="584" w:lineRule="exact"/>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项目绩效指标完成情况总体评价为优秀。主要表现是：</w:t>
      </w:r>
    </w:p>
    <w:p>
      <w:pPr>
        <w:numPr>
          <w:ilvl w:val="0"/>
          <w:numId w:val="2"/>
        </w:numPr>
        <w:adjustRightInd w:val="0"/>
        <w:snapToGrid w:val="0"/>
        <w:spacing w:line="584" w:lineRule="exact"/>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高效性。该项目在规定期限和标准内，高效完成所规定的各项工作任务，取得了广泛的社会效应。</w:t>
      </w:r>
    </w:p>
    <w:p>
      <w:pPr>
        <w:numPr>
          <w:numId w:val="0"/>
        </w:numPr>
        <w:adjustRightInd w:val="0"/>
        <w:snapToGrid w:val="0"/>
        <w:spacing w:line="584" w:lineRule="exact"/>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2、经济性。在实施过程中，严格控制经费的管理和使用，保证财政资金用到实处。</w:t>
      </w:r>
    </w:p>
    <w:p>
      <w:pPr>
        <w:numPr>
          <w:ilvl w:val="0"/>
          <w:numId w:val="0"/>
        </w:numPr>
        <w:adjustRightInd w:val="0"/>
        <w:snapToGrid w:val="0"/>
        <w:spacing w:line="584" w:lineRule="exact"/>
        <w:ind w:firstLine="640" w:firstLineChars="200"/>
        <w:rPr>
          <w:rFonts w:hint="default" w:ascii="Calibri" w:hAnsi="Calibri" w:eastAsia="仿宋_GB2312" w:cs="Calibri"/>
          <w:sz w:val="32"/>
          <w:szCs w:val="32"/>
        </w:rPr>
      </w:pPr>
      <w:r>
        <w:rPr>
          <w:rFonts w:hint="default" w:ascii="Calibri" w:hAnsi="Calibri" w:eastAsia="仿宋_GB2312" w:cs="Calibri"/>
          <w:sz w:val="32"/>
          <w:szCs w:val="32"/>
        </w:rPr>
        <w:t>项目绩效指标完成情况：按照项目预算批复数的绩效指</w:t>
      </w:r>
    </w:p>
    <w:p>
      <w:pPr>
        <w:numPr>
          <w:ilvl w:val="0"/>
          <w:numId w:val="0"/>
        </w:numPr>
        <w:adjustRightInd w:val="0"/>
        <w:snapToGrid w:val="0"/>
        <w:spacing w:line="584" w:lineRule="exact"/>
        <w:rPr>
          <w:rFonts w:hint="default" w:ascii="Calibri" w:hAnsi="Calibri" w:eastAsia="仿宋_GB2312" w:cs="Calibri"/>
          <w:sz w:val="32"/>
          <w:szCs w:val="32"/>
        </w:rPr>
      </w:pPr>
      <w:r>
        <w:rPr>
          <w:rFonts w:hint="default" w:ascii="Calibri" w:hAnsi="Calibri" w:eastAsia="仿宋_GB2312" w:cs="Calibri"/>
          <w:sz w:val="32"/>
          <w:szCs w:val="32"/>
        </w:rPr>
        <w:t>标与实际支出的绩效指标，根据会议议程，组织代表履行宪</w:t>
      </w:r>
    </w:p>
    <w:p>
      <w:pPr>
        <w:numPr>
          <w:ilvl w:val="0"/>
          <w:numId w:val="0"/>
        </w:numPr>
        <w:adjustRightInd w:val="0"/>
        <w:snapToGrid w:val="0"/>
        <w:spacing w:line="584" w:lineRule="exact"/>
        <w:rPr>
          <w:rFonts w:hint="default" w:ascii="Calibri" w:hAnsi="Calibri" w:eastAsia="仿宋_GB2312" w:cs="Calibri"/>
          <w:sz w:val="32"/>
          <w:szCs w:val="32"/>
        </w:rPr>
      </w:pPr>
      <w:r>
        <w:rPr>
          <w:rFonts w:hint="default" w:ascii="Calibri" w:hAnsi="Calibri" w:eastAsia="仿宋_GB2312" w:cs="Calibri"/>
          <w:sz w:val="32"/>
          <w:szCs w:val="32"/>
        </w:rPr>
        <w:t>法和法律赋予的神圣职责，共同谋划我市经济社会发展规</w:t>
      </w:r>
    </w:p>
    <w:p>
      <w:pPr>
        <w:numPr>
          <w:ilvl w:val="0"/>
          <w:numId w:val="0"/>
        </w:numPr>
        <w:adjustRightInd w:val="0"/>
        <w:snapToGrid w:val="0"/>
        <w:spacing w:line="584" w:lineRule="exact"/>
        <w:rPr>
          <w:rFonts w:hint="default" w:ascii="Calibri" w:hAnsi="Calibri" w:eastAsia="仿宋_GB2312" w:cs="Calibri"/>
          <w:sz w:val="32"/>
          <w:szCs w:val="32"/>
        </w:rPr>
      </w:pPr>
      <w:r>
        <w:rPr>
          <w:rFonts w:hint="default" w:ascii="Calibri" w:hAnsi="Calibri" w:eastAsia="仿宋_GB2312" w:cs="Calibri"/>
          <w:sz w:val="32"/>
          <w:szCs w:val="32"/>
        </w:rPr>
        <w:t>划，积极参政议政，圆满完成了各项议程。目标按预算绩效</w:t>
      </w:r>
    </w:p>
    <w:p>
      <w:pPr>
        <w:numPr>
          <w:ilvl w:val="0"/>
          <w:numId w:val="0"/>
        </w:numPr>
        <w:adjustRightInd w:val="0"/>
        <w:snapToGrid w:val="0"/>
        <w:spacing w:line="584" w:lineRule="exact"/>
        <w:rPr>
          <w:rFonts w:hint="default" w:ascii="Calibri" w:hAnsi="Calibri" w:eastAsia="仿宋_GB2312" w:cs="Calibri"/>
          <w:sz w:val="32"/>
          <w:szCs w:val="32"/>
        </w:rPr>
      </w:pPr>
      <w:r>
        <w:rPr>
          <w:rFonts w:hint="default" w:ascii="Calibri" w:hAnsi="Calibri" w:eastAsia="仿宋_GB2312" w:cs="Calibri"/>
          <w:sz w:val="32"/>
          <w:szCs w:val="32"/>
        </w:rPr>
        <w:t>指标完成，达到了预期效果。</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lang w:val="en-US" w:eastAsia="zh-CN"/>
        </w:rPr>
        <w:t>0</w:t>
      </w:r>
      <w:r>
        <w:rPr>
          <w:rFonts w:eastAsia="仿宋_GB2312"/>
          <w:sz w:val="32"/>
          <w:szCs w:val="32"/>
        </w:rPr>
        <w:t>万元，比2016年度增加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%。主要原因是</w:t>
      </w:r>
      <w:r>
        <w:rPr>
          <w:rFonts w:hint="default" w:ascii="Calibri" w:hAnsi="Calibri" w:eastAsia="仿宋_GB2312" w:cs="Calibri"/>
          <w:sz w:val="32"/>
          <w:szCs w:val="32"/>
        </w:rPr>
        <w:t>我部门机关运行经费由本单位经营收入安排</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本部门2017年度政府采购支出总额</w:t>
      </w:r>
      <w:r>
        <w:rPr>
          <w:rFonts w:hint="eastAsia" w:eastAsia="仿宋_GB2312"/>
          <w:sz w:val="32"/>
          <w:szCs w:val="32"/>
          <w:lang w:val="en-US" w:eastAsia="zh-CN"/>
        </w:rPr>
        <w:t>276.94</w:t>
      </w:r>
      <w:r>
        <w:rPr>
          <w:rFonts w:eastAsia="仿宋_GB2312"/>
          <w:sz w:val="32"/>
          <w:szCs w:val="32"/>
        </w:rPr>
        <w:t>万元，其中：政府采购货物支出</w:t>
      </w:r>
      <w:r>
        <w:rPr>
          <w:rFonts w:hint="eastAsia" w:eastAsia="仿宋_GB2312"/>
          <w:sz w:val="32"/>
          <w:szCs w:val="32"/>
          <w:lang w:val="en-US" w:eastAsia="zh-CN"/>
        </w:rPr>
        <w:t>158.60</w:t>
      </w:r>
      <w:r>
        <w:rPr>
          <w:rFonts w:eastAsia="仿宋_GB2312"/>
          <w:sz w:val="32"/>
          <w:szCs w:val="32"/>
        </w:rPr>
        <w:t>万元、政府采购工程支出</w:t>
      </w:r>
      <w:r>
        <w:rPr>
          <w:rFonts w:hint="eastAsia" w:eastAsia="仿宋_GB2312"/>
          <w:sz w:val="32"/>
          <w:szCs w:val="32"/>
          <w:lang w:val="en-US" w:eastAsia="zh-CN"/>
        </w:rPr>
        <w:t>118.34</w:t>
      </w:r>
      <w:r>
        <w:rPr>
          <w:rFonts w:eastAsia="仿宋_GB2312"/>
          <w:sz w:val="32"/>
          <w:szCs w:val="32"/>
        </w:rPr>
        <w:t>万元、政府采购服务支出</w:t>
      </w:r>
      <w:r>
        <w:rPr>
          <w:rFonts w:hint="eastAsia" w:eastAsia="仿宋_GB2312"/>
          <w:sz w:val="32"/>
          <w:szCs w:val="32"/>
          <w:lang w:val="en-US" w:eastAsia="zh-CN"/>
        </w:rPr>
        <w:t>0</w:t>
      </w:r>
      <w:r>
        <w:rPr>
          <w:rFonts w:eastAsia="仿宋_GB2312"/>
          <w:sz w:val="32"/>
          <w:szCs w:val="32"/>
        </w:rPr>
        <w:t>万元。</w:t>
      </w:r>
    </w:p>
    <w:p>
      <w:pPr>
        <w:pStyle w:val="4"/>
        <w:spacing w:before="0" w:after="0" w:line="584" w:lineRule="exact"/>
        <w:ind w:firstLine="643" w:firstLineChars="200"/>
        <w:rPr>
          <w:rFonts w:eastAsia="楷体_GB2312"/>
        </w:rPr>
      </w:pPr>
      <w:r>
        <w:rPr>
          <w:rFonts w:eastAsia="楷体_GB2312"/>
        </w:rPr>
        <w:t>（三）国有资产占用情况</w:t>
      </w:r>
    </w:p>
    <w:p>
      <w:pPr>
        <w:adjustRightInd w:val="0"/>
        <w:snapToGrid w:val="0"/>
        <w:spacing w:line="584" w:lineRule="exact"/>
        <w:ind w:firstLine="600" w:firstLineChars="200"/>
        <w:rPr>
          <w:rFonts w:eastAsia="仿宋_GB2312"/>
          <w:sz w:val="32"/>
          <w:szCs w:val="32"/>
        </w:rPr>
      </w:pPr>
      <w:r>
        <w:rPr>
          <w:rFonts w:hint="eastAsia" w:eastAsia="仿宋_GB2312"/>
          <w:sz w:val="30"/>
          <w:szCs w:val="30"/>
        </w:rPr>
        <w:t xml:space="preserve">本部门国有资产占有总体情况是：2017 年末部门资产合计 </w:t>
      </w:r>
      <w:r>
        <w:rPr>
          <w:rFonts w:hint="eastAsia" w:eastAsia="仿宋_GB2312"/>
          <w:sz w:val="30"/>
          <w:szCs w:val="30"/>
          <w:lang w:val="en-US" w:eastAsia="zh-CN"/>
        </w:rPr>
        <w:t>3505.43</w:t>
      </w:r>
      <w:r>
        <w:rPr>
          <w:rFonts w:hint="eastAsia" w:eastAsia="仿宋_GB2312"/>
          <w:sz w:val="30"/>
          <w:szCs w:val="30"/>
        </w:rPr>
        <w:t xml:space="preserve"> 万元，其中：流动资产 </w:t>
      </w:r>
      <w:r>
        <w:rPr>
          <w:rFonts w:hint="eastAsia" w:eastAsia="仿宋_GB2312"/>
          <w:sz w:val="30"/>
          <w:szCs w:val="30"/>
          <w:lang w:val="en-US" w:eastAsia="zh-CN"/>
        </w:rPr>
        <w:t>1061.22</w:t>
      </w:r>
      <w:r>
        <w:rPr>
          <w:rFonts w:hint="eastAsia" w:eastAsia="仿宋_GB2312"/>
          <w:sz w:val="30"/>
          <w:szCs w:val="30"/>
        </w:rPr>
        <w:t xml:space="preserve"> 万元，占总资产的 </w:t>
      </w:r>
      <w:r>
        <w:rPr>
          <w:rFonts w:hint="eastAsia" w:eastAsia="仿宋_GB2312"/>
          <w:sz w:val="30"/>
          <w:szCs w:val="30"/>
          <w:lang w:val="en-US" w:eastAsia="zh-CN"/>
        </w:rPr>
        <w:t>30</w:t>
      </w:r>
      <w:r>
        <w:rPr>
          <w:rFonts w:hint="eastAsia" w:eastAsia="仿宋_GB2312"/>
          <w:sz w:val="30"/>
          <w:szCs w:val="30"/>
        </w:rPr>
        <w:t>%；固定资产</w:t>
      </w:r>
      <w:r>
        <w:rPr>
          <w:rFonts w:hint="eastAsia" w:eastAsia="仿宋_GB2312"/>
          <w:sz w:val="30"/>
          <w:szCs w:val="30"/>
          <w:lang w:val="en-US" w:eastAsia="zh-CN"/>
        </w:rPr>
        <w:t>2444.21</w:t>
      </w:r>
      <w:r>
        <w:rPr>
          <w:rFonts w:hint="eastAsia" w:eastAsia="仿宋_GB2312"/>
          <w:sz w:val="30"/>
          <w:szCs w:val="30"/>
        </w:rPr>
        <w:t xml:space="preserve">万元，占总资产的 </w:t>
      </w:r>
      <w:r>
        <w:rPr>
          <w:rFonts w:hint="eastAsia" w:eastAsia="仿宋_GB2312"/>
          <w:sz w:val="30"/>
          <w:szCs w:val="30"/>
          <w:lang w:val="en-US" w:eastAsia="zh-CN"/>
        </w:rPr>
        <w:t>69</w:t>
      </w:r>
      <w:r>
        <w:rPr>
          <w:rFonts w:hint="eastAsia" w:eastAsia="仿宋_GB2312"/>
          <w:sz w:val="30"/>
          <w:szCs w:val="30"/>
        </w:rPr>
        <w:t>%</w:t>
      </w:r>
      <w:r>
        <w:rPr>
          <w:rFonts w:hint="eastAsia" w:eastAsia="仿宋_GB2312"/>
          <w:sz w:val="30"/>
          <w:szCs w:val="30"/>
          <w:lang w:eastAsia="zh-CN"/>
        </w:rPr>
        <w:t>；负债</w:t>
      </w:r>
      <w:r>
        <w:rPr>
          <w:rFonts w:hint="eastAsia" w:eastAsia="仿宋_GB2312"/>
          <w:sz w:val="30"/>
          <w:szCs w:val="30"/>
          <w:lang w:val="en-US" w:eastAsia="zh-CN"/>
        </w:rPr>
        <w:t>556.94万元，占总资产的15%；</w:t>
      </w:r>
      <w:r>
        <w:rPr>
          <w:rFonts w:hint="eastAsia" w:eastAsia="仿宋_GB2312"/>
          <w:sz w:val="30"/>
          <w:szCs w:val="30"/>
        </w:rPr>
        <w:t>本年与上年相比，总资产</w:t>
      </w:r>
      <w:r>
        <w:rPr>
          <w:rFonts w:hint="eastAsia" w:eastAsia="仿宋_GB2312"/>
          <w:sz w:val="30"/>
          <w:szCs w:val="30"/>
          <w:lang w:eastAsia="zh-CN"/>
        </w:rPr>
        <w:t>增加</w:t>
      </w:r>
      <w:r>
        <w:rPr>
          <w:rFonts w:hint="eastAsia" w:eastAsia="仿宋_GB2312"/>
          <w:sz w:val="30"/>
          <w:szCs w:val="30"/>
          <w:lang w:val="en-US" w:eastAsia="zh-CN"/>
        </w:rPr>
        <w:t>809.18</w:t>
      </w:r>
      <w:r>
        <w:rPr>
          <w:rFonts w:hint="eastAsia" w:eastAsia="仿宋_GB2312"/>
          <w:sz w:val="30"/>
          <w:szCs w:val="30"/>
        </w:rPr>
        <w:t xml:space="preserve"> 万元，其中：流动资产</w:t>
      </w:r>
      <w:r>
        <w:rPr>
          <w:rFonts w:hint="eastAsia" w:eastAsia="仿宋_GB2312"/>
          <w:sz w:val="30"/>
          <w:szCs w:val="30"/>
          <w:lang w:eastAsia="zh-CN"/>
        </w:rPr>
        <w:t>增加</w:t>
      </w:r>
      <w:r>
        <w:rPr>
          <w:rFonts w:hint="eastAsia" w:eastAsia="仿宋_GB2312"/>
          <w:sz w:val="30"/>
          <w:szCs w:val="30"/>
        </w:rPr>
        <w:t xml:space="preserve"> </w:t>
      </w:r>
      <w:r>
        <w:rPr>
          <w:rFonts w:hint="eastAsia" w:eastAsia="仿宋_GB2312"/>
          <w:sz w:val="30"/>
          <w:szCs w:val="30"/>
          <w:lang w:val="en-US" w:eastAsia="zh-CN"/>
        </w:rPr>
        <w:t>333.28</w:t>
      </w:r>
      <w:r>
        <w:rPr>
          <w:rFonts w:hint="eastAsia" w:eastAsia="仿宋_GB2312"/>
          <w:sz w:val="30"/>
          <w:szCs w:val="30"/>
        </w:rPr>
        <w:t>万元，原因是</w:t>
      </w:r>
      <w:r>
        <w:rPr>
          <w:rFonts w:hint="eastAsia" w:eastAsia="仿宋_GB2312"/>
          <w:sz w:val="30"/>
          <w:szCs w:val="30"/>
          <w:lang w:eastAsia="zh-CN"/>
        </w:rPr>
        <w:t>库存药品增加，城镇居民医药费未及时返还，国家拨付的专用专款未使用完</w:t>
      </w:r>
      <w:r>
        <w:rPr>
          <w:rFonts w:hint="eastAsia" w:eastAsia="仿宋_GB2312"/>
          <w:sz w:val="30"/>
          <w:szCs w:val="30"/>
        </w:rPr>
        <w:t xml:space="preserve">；固定资产增加 </w:t>
      </w:r>
      <w:r>
        <w:rPr>
          <w:rFonts w:hint="eastAsia" w:eastAsia="仿宋_GB2312"/>
          <w:sz w:val="30"/>
          <w:szCs w:val="30"/>
          <w:lang w:val="en-US" w:eastAsia="zh-CN"/>
        </w:rPr>
        <w:t>476.2</w:t>
      </w:r>
      <w:r>
        <w:rPr>
          <w:rFonts w:hint="eastAsia" w:eastAsia="仿宋_GB2312"/>
          <w:sz w:val="30"/>
          <w:szCs w:val="30"/>
        </w:rPr>
        <w:t xml:space="preserve"> 万元，原因是本年新增</w:t>
      </w:r>
      <w:r>
        <w:rPr>
          <w:rFonts w:hint="eastAsia" w:eastAsia="仿宋_GB2312"/>
          <w:sz w:val="30"/>
          <w:szCs w:val="30"/>
          <w:lang w:eastAsia="zh-CN"/>
        </w:rPr>
        <w:t>医疗专用设备；负债增加</w:t>
      </w:r>
      <w:r>
        <w:rPr>
          <w:rFonts w:hint="eastAsia" w:eastAsia="仿宋_GB2312"/>
          <w:sz w:val="30"/>
          <w:szCs w:val="30"/>
          <w:lang w:val="en-US" w:eastAsia="zh-CN"/>
        </w:rPr>
        <w:t>306.67万元</w:t>
      </w:r>
      <w:bookmarkStart w:id="0" w:name="_GoBack"/>
      <w:bookmarkEnd w:id="0"/>
      <w:r>
        <w:rPr>
          <w:rFonts w:hint="eastAsia" w:eastAsia="仿宋_GB2312"/>
          <w:sz w:val="30"/>
          <w:szCs w:val="30"/>
          <w:lang w:val="en-US" w:eastAsia="zh-CN"/>
        </w:rPr>
        <w:t>，原因是库存药品及材料年终库存备货量大，药款未及时付出</w:t>
      </w:r>
      <w:r>
        <w:rPr>
          <w:rFonts w:hint="eastAsia" w:eastAsia="仿宋_GB2312"/>
          <w:sz w:val="30"/>
          <w:szCs w:val="30"/>
        </w:rPr>
        <w:t>。</w:t>
      </w:r>
    </w:p>
    <w:p>
      <w:pPr>
        <w:adjustRightInd w:val="0"/>
        <w:snapToGrid w:val="0"/>
        <w:spacing w:line="584" w:lineRule="exact"/>
        <w:ind w:firstLine="640" w:firstLineChars="200"/>
        <w:rPr>
          <w:rFonts w:eastAsia="仿宋_GB2312"/>
          <w:sz w:val="32"/>
          <w:szCs w:val="32"/>
        </w:rPr>
      </w:pPr>
      <w:r>
        <w:rPr>
          <w:rFonts w:eastAsia="仿宋_GB2312"/>
          <w:sz w:val="32"/>
          <w:szCs w:val="32"/>
        </w:rPr>
        <w:t>截至2017年12月31日，本部门共有车辆</w:t>
      </w:r>
      <w:r>
        <w:rPr>
          <w:rFonts w:hint="eastAsia" w:eastAsia="仿宋_GB2312"/>
          <w:sz w:val="32"/>
          <w:szCs w:val="32"/>
          <w:lang w:val="en-US" w:eastAsia="zh-CN"/>
        </w:rPr>
        <w:t>2</w:t>
      </w:r>
      <w:r>
        <w:rPr>
          <w:rFonts w:eastAsia="仿宋_GB2312"/>
          <w:sz w:val="32"/>
          <w:szCs w:val="32"/>
        </w:rPr>
        <w:t>辆，其中，市级领导干部用车</w:t>
      </w:r>
      <w:r>
        <w:rPr>
          <w:rFonts w:hint="eastAsia" w:eastAsia="仿宋_GB2312"/>
          <w:sz w:val="32"/>
          <w:szCs w:val="32"/>
          <w:lang w:val="en-US" w:eastAsia="zh-CN"/>
        </w:rPr>
        <w:t>0</w:t>
      </w:r>
      <w:r>
        <w:rPr>
          <w:rFonts w:eastAsia="仿宋_GB2312"/>
          <w:sz w:val="32"/>
          <w:szCs w:val="32"/>
        </w:rPr>
        <w:t>辆、一般公务用车</w:t>
      </w:r>
      <w:r>
        <w:rPr>
          <w:rFonts w:hint="eastAsia" w:eastAsia="仿宋_GB2312"/>
          <w:sz w:val="32"/>
          <w:szCs w:val="32"/>
          <w:lang w:val="en-US" w:eastAsia="zh-CN"/>
        </w:rPr>
        <w:t>0</w:t>
      </w:r>
      <w:r>
        <w:rPr>
          <w:rFonts w:eastAsia="仿宋_GB2312"/>
          <w:sz w:val="32"/>
          <w:szCs w:val="32"/>
        </w:rPr>
        <w:t>辆、一般执法执勤用车</w:t>
      </w:r>
      <w:r>
        <w:rPr>
          <w:rFonts w:hint="eastAsia" w:eastAsia="仿宋_GB2312"/>
          <w:sz w:val="32"/>
          <w:szCs w:val="32"/>
          <w:lang w:val="en-US" w:eastAsia="zh-CN"/>
        </w:rPr>
        <w:t>0</w:t>
      </w:r>
      <w:r>
        <w:rPr>
          <w:rFonts w:eastAsia="仿宋_GB2312"/>
          <w:sz w:val="32"/>
          <w:szCs w:val="32"/>
        </w:rPr>
        <w:t>辆、特种专业技术用车</w:t>
      </w:r>
      <w:r>
        <w:rPr>
          <w:rFonts w:hint="eastAsia" w:eastAsia="仿宋_GB2312"/>
          <w:sz w:val="32"/>
          <w:szCs w:val="32"/>
          <w:lang w:val="en-US" w:eastAsia="zh-CN"/>
        </w:rPr>
        <w:t>0</w:t>
      </w:r>
      <w:r>
        <w:rPr>
          <w:rFonts w:eastAsia="仿宋_GB2312"/>
          <w:sz w:val="32"/>
          <w:szCs w:val="32"/>
        </w:rPr>
        <w:t>辆、其他用车</w:t>
      </w:r>
      <w:r>
        <w:rPr>
          <w:rFonts w:hint="eastAsia" w:eastAsia="仿宋_GB2312"/>
          <w:sz w:val="32"/>
          <w:szCs w:val="32"/>
          <w:lang w:val="en-US" w:eastAsia="zh-CN"/>
        </w:rPr>
        <w:t>2</w:t>
      </w:r>
      <w:r>
        <w:rPr>
          <w:rFonts w:eastAsia="仿宋_GB2312"/>
          <w:sz w:val="32"/>
          <w:szCs w:val="32"/>
        </w:rPr>
        <w:t>辆，其他用车主要是</w:t>
      </w:r>
      <w:r>
        <w:rPr>
          <w:rFonts w:hint="eastAsia" w:eastAsia="仿宋_GB2312"/>
          <w:sz w:val="32"/>
          <w:szCs w:val="32"/>
          <w:lang w:eastAsia="zh-CN"/>
        </w:rPr>
        <w:t>救护专用车</w:t>
      </w:r>
      <w:r>
        <w:rPr>
          <w:rFonts w:eastAsia="仿宋_GB2312"/>
          <w:sz w:val="32"/>
          <w:szCs w:val="32"/>
        </w:rPr>
        <w:t>；单位价值50万元以上大型设备</w:t>
      </w:r>
      <w:r>
        <w:rPr>
          <w:rFonts w:hint="eastAsia" w:eastAsia="仿宋_GB2312"/>
          <w:sz w:val="32"/>
          <w:szCs w:val="32"/>
          <w:lang w:val="en-US" w:eastAsia="zh-CN"/>
        </w:rPr>
        <w:t>4</w:t>
      </w:r>
      <w:r>
        <w:rPr>
          <w:rFonts w:eastAsia="仿宋_GB2312"/>
          <w:sz w:val="32"/>
          <w:szCs w:val="32"/>
        </w:rPr>
        <w:t>台（套），单位价值100万元以上大型设备</w:t>
      </w:r>
      <w:r>
        <w:rPr>
          <w:rFonts w:hint="eastAsia" w:eastAsia="仿宋_GB2312"/>
          <w:sz w:val="32"/>
          <w:szCs w:val="32"/>
          <w:lang w:val="en-US" w:eastAsia="zh-CN"/>
        </w:rPr>
        <w:t>4</w:t>
      </w:r>
      <w:r>
        <w:rPr>
          <w:rFonts w:eastAsia="仿宋_GB2312"/>
          <w:sz w:val="32"/>
          <w:szCs w:val="32"/>
        </w:rPr>
        <w:t>台（套）。</w:t>
      </w:r>
    </w:p>
    <w:p>
      <w:pPr>
        <w:pStyle w:val="4"/>
        <w:spacing w:before="0" w:after="0" w:line="584" w:lineRule="exact"/>
        <w:ind w:firstLine="643" w:firstLineChars="200"/>
        <w:rPr>
          <w:rFonts w:eastAsia="楷体_GB2312"/>
        </w:rPr>
      </w:pPr>
      <w:r>
        <w:rPr>
          <w:rFonts w:eastAsia="楷体_GB2312"/>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1、本部门2017年度</w:t>
      </w:r>
      <w:r>
        <w:rPr>
          <w:rFonts w:hint="eastAsia" w:eastAsia="仿宋_GB2312"/>
          <w:sz w:val="32"/>
          <w:szCs w:val="32"/>
          <w:lang w:eastAsia="zh-CN"/>
        </w:rPr>
        <w:t>国有资本</w:t>
      </w:r>
      <w:r>
        <w:rPr>
          <w:rFonts w:eastAsia="仿宋_GB2312"/>
          <w:sz w:val="32"/>
          <w:szCs w:val="32"/>
        </w:rPr>
        <w:t>无收支及结转结余情况，故以空表列示。</w:t>
      </w:r>
    </w:p>
    <w:p>
      <w:p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r>
        <w:rPr>
          <w:rFonts w:eastAsia="仿宋_GB2312"/>
          <w:sz w:val="32"/>
          <w:szCs w:val="32"/>
        </w:rPr>
        <w:br w:type="textWrapping"/>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r>
        <w:t>第四部分名词解释</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tabs>
          <w:tab w:val="left" w:pos="11490"/>
        </w:tabs>
        <w:spacing w:line="580" w:lineRule="exact"/>
        <w:ind w:firstLine="640" w:firstLineChars="200"/>
        <w:rPr>
          <w:rFonts w:hint="eastAsia" w:ascii="Calibri" w:hAnsi="Calibri" w:eastAsia="仿宋_GB2312" w:cs="Calibri"/>
          <w:bCs/>
          <w:sz w:val="32"/>
          <w:szCs w:val="32"/>
          <w:lang w:val="en-US" w:eastAsia="zh-CN"/>
        </w:rPr>
      </w:pPr>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D539"/>
    <w:multiLevelType w:val="singleLevel"/>
    <w:tmpl w:val="28BDD539"/>
    <w:lvl w:ilvl="0" w:tentative="0">
      <w:start w:val="3"/>
      <w:numFmt w:val="chineseCounting"/>
      <w:suff w:val="nothing"/>
      <w:lvlText w:val="（%1）"/>
      <w:lvlJc w:val="left"/>
      <w:rPr>
        <w:rFonts w:hint="eastAsia"/>
      </w:rPr>
    </w:lvl>
  </w:abstractNum>
  <w:abstractNum w:abstractNumId="1">
    <w:nsid w:val="499BFBA4"/>
    <w:multiLevelType w:val="singleLevel"/>
    <w:tmpl w:val="499BFBA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5850"/>
    <w:rsid w:val="00085768"/>
    <w:rsid w:val="00143EFE"/>
    <w:rsid w:val="00637E7F"/>
    <w:rsid w:val="00A33F82"/>
    <w:rsid w:val="0155523D"/>
    <w:rsid w:val="019265DA"/>
    <w:rsid w:val="022772A3"/>
    <w:rsid w:val="05902A64"/>
    <w:rsid w:val="07C76679"/>
    <w:rsid w:val="08925188"/>
    <w:rsid w:val="0A191EC7"/>
    <w:rsid w:val="0B1A6B29"/>
    <w:rsid w:val="123A2730"/>
    <w:rsid w:val="130B6C1E"/>
    <w:rsid w:val="140C7C9F"/>
    <w:rsid w:val="1CE74D13"/>
    <w:rsid w:val="22981E25"/>
    <w:rsid w:val="24602A66"/>
    <w:rsid w:val="246B2054"/>
    <w:rsid w:val="2AD24B64"/>
    <w:rsid w:val="2AED4676"/>
    <w:rsid w:val="2C656A3F"/>
    <w:rsid w:val="31EB7924"/>
    <w:rsid w:val="33CA3188"/>
    <w:rsid w:val="342D70E7"/>
    <w:rsid w:val="39A52B66"/>
    <w:rsid w:val="439C6A1F"/>
    <w:rsid w:val="49233202"/>
    <w:rsid w:val="4EB87455"/>
    <w:rsid w:val="50A67EA5"/>
    <w:rsid w:val="53985E5E"/>
    <w:rsid w:val="553A0032"/>
    <w:rsid w:val="56073C02"/>
    <w:rsid w:val="5729201D"/>
    <w:rsid w:val="5BC07441"/>
    <w:rsid w:val="5C2D4777"/>
    <w:rsid w:val="626A7408"/>
    <w:rsid w:val="6597591C"/>
    <w:rsid w:val="664F79E1"/>
    <w:rsid w:val="67FB53C6"/>
    <w:rsid w:val="6AD912A2"/>
    <w:rsid w:val="70E91DA5"/>
    <w:rsid w:val="73C218F1"/>
    <w:rsid w:val="73DA54E8"/>
    <w:rsid w:val="74F5309E"/>
    <w:rsid w:val="75A9268D"/>
    <w:rsid w:val="7878561F"/>
    <w:rsid w:val="7CE15A97"/>
    <w:rsid w:val="7E73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7"/>
    <w:link w:val="2"/>
    <w:uiPriority w:val="9"/>
    <w:rPr>
      <w:rFonts w:ascii="Times New Roman" w:hAnsi="Times New Roman" w:eastAsia="宋体" w:cs="Times New Roman"/>
      <w:b/>
      <w:bCs/>
      <w:kern w:val="44"/>
      <w:sz w:val="44"/>
      <w:szCs w:val="44"/>
    </w:rPr>
  </w:style>
  <w:style w:type="character" w:customStyle="1" w:styleId="10">
    <w:name w:val="标题 2 Char"/>
    <w:basedOn w:val="7"/>
    <w:link w:val="3"/>
    <w:qFormat/>
    <w:uiPriority w:val="9"/>
    <w:rPr>
      <w:rFonts w:ascii="Cambria" w:hAnsi="Cambria" w:eastAsia="宋体" w:cs="Times New Roman"/>
      <w:b/>
      <w:bCs/>
      <w:sz w:val="32"/>
      <w:szCs w:val="32"/>
    </w:rPr>
  </w:style>
  <w:style w:type="character" w:customStyle="1" w:styleId="11">
    <w:name w:val="标题 3 Char"/>
    <w:basedOn w:val="7"/>
    <w:link w:val="4"/>
    <w:qFormat/>
    <w:uiPriority w:val="9"/>
    <w:rPr>
      <w:rFonts w:ascii="Times New Roman" w:hAnsi="Times New Roman" w:eastAsia="宋体" w:cs="Times New Roman"/>
      <w:b/>
      <w:bCs/>
      <w:sz w:val="32"/>
      <w:szCs w:val="32"/>
    </w:rPr>
  </w:style>
  <w:style w:type="character" w:customStyle="1" w:styleId="12">
    <w:name w:val="页脚 Char"/>
    <w:basedOn w:val="7"/>
    <w:link w:val="5"/>
    <w:qFormat/>
    <w:uiPriority w:val="99"/>
    <w:rPr>
      <w:rFonts w:ascii="Times New Roman" w:hAnsi="Times New Roman" w:eastAsia="宋体" w:cs="Times New Roman"/>
      <w:sz w:val="18"/>
      <w:szCs w:val="18"/>
    </w:rPr>
  </w:style>
  <w:style w:type="character" w:customStyle="1" w:styleId="13">
    <w:name w:val="页眉 Char"/>
    <w:basedOn w:val="7"/>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763</Words>
  <Characters>4350</Characters>
  <Lines>36</Lines>
  <Paragraphs>10</Paragraphs>
  <TotalTime>62</TotalTime>
  <ScaleCrop>false</ScaleCrop>
  <LinksUpToDate>false</LinksUpToDate>
  <CharactersWithSpaces>5103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dcterms:modified xsi:type="dcterms:W3CDTF">2019-02-28T07:01:20Z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