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3575" w:type="dxa"/>
        <w:jc w:val="center"/>
        <w:tblCellSpacing w:w="0" w:type="dxa"/>
        <w:tblInd w:w="0" w:type="dxa"/>
        <w:tblBorders>
          <w:top w:val="single" w:color="D8D6D6" w:sz="4" w:space="0"/>
          <w:left w:val="single" w:color="D8D6D6" w:sz="4" w:space="0"/>
          <w:bottom w:val="single" w:color="D8D6D6" w:sz="4" w:space="0"/>
          <w:right w:val="single" w:color="D8D6D6" w:sz="4"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3575"/>
      </w:tblGrid>
      <w:tr>
        <w:tblPrEx>
          <w:tblBorders>
            <w:top w:val="single" w:color="D8D6D6" w:sz="4" w:space="0"/>
            <w:left w:val="single" w:color="D8D6D6" w:sz="4" w:space="0"/>
            <w:bottom w:val="single" w:color="D8D6D6" w:sz="4" w:space="0"/>
            <w:right w:val="single" w:color="D8D6D6" w:sz="4"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00" w:hRule="atLeast"/>
          <w:tblCellSpacing w:w="0" w:type="dxa"/>
          <w:jc w:val="center"/>
        </w:trPr>
        <w:tc>
          <w:tcPr>
            <w:tcW w:w="13575" w:type="dxa"/>
            <w:shd w:val="clear" w:color="auto" w:fill="FFFFFF"/>
            <w:tcMar>
              <w:top w:w="0" w:type="dxa"/>
              <w:left w:w="563" w:type="dxa"/>
              <w:bottom w:w="0" w:type="dxa"/>
              <w:right w:w="563" w:type="dxa"/>
            </w:tcMar>
            <w:vAlign w:val="center"/>
          </w:tcPr>
          <w:p>
            <w:pPr>
              <w:widowControl/>
              <w:spacing w:before="125"/>
              <w:jc w:val="center"/>
              <w:rPr>
                <w:rFonts w:ascii="Verdana" w:hAnsi="Verdana" w:eastAsia="宋体" w:cs="宋体"/>
                <w:kern w:val="0"/>
                <w:sz w:val="15"/>
                <w:szCs w:val="15"/>
              </w:rPr>
            </w:pPr>
            <w:r>
              <w:rPr>
                <w:rFonts w:ascii="Verdana" w:hAnsi="Verdana" w:eastAsia="宋体" w:cs="宋体"/>
                <w:b/>
                <w:bCs/>
                <w:color w:val="BA0707"/>
                <w:kern w:val="0"/>
                <w:sz w:val="72"/>
                <w:szCs w:val="72"/>
              </w:rPr>
              <w:t>大城县水务局201</w:t>
            </w:r>
            <w:r>
              <w:rPr>
                <w:rFonts w:hint="eastAsia" w:ascii="Verdana" w:hAnsi="Verdana" w:eastAsia="宋体" w:cs="宋体"/>
                <w:b/>
                <w:bCs/>
                <w:color w:val="BA0707"/>
                <w:kern w:val="0"/>
                <w:sz w:val="72"/>
                <w:szCs w:val="72"/>
                <w:lang w:val="en-US" w:eastAsia="zh-CN"/>
              </w:rPr>
              <w:t>7</w:t>
            </w:r>
            <w:r>
              <w:rPr>
                <w:rFonts w:ascii="Verdana" w:hAnsi="Verdana" w:eastAsia="宋体" w:cs="宋体"/>
                <w:b/>
                <w:bCs/>
                <w:color w:val="BA0707"/>
                <w:kern w:val="0"/>
                <w:sz w:val="72"/>
                <w:szCs w:val="72"/>
              </w:rPr>
              <w:t>年</w:t>
            </w:r>
            <w:r>
              <w:rPr>
                <w:rFonts w:hint="eastAsia" w:ascii="Verdana" w:hAnsi="Verdana" w:eastAsia="宋体" w:cs="宋体"/>
                <w:b/>
                <w:bCs/>
                <w:color w:val="BA0707"/>
                <w:kern w:val="0"/>
                <w:sz w:val="72"/>
                <w:szCs w:val="72"/>
                <w:lang w:eastAsia="zh-CN"/>
              </w:rPr>
              <w:t>度</w:t>
            </w:r>
            <w:r>
              <w:rPr>
                <w:rFonts w:ascii="Verdana" w:hAnsi="Verdana" w:eastAsia="宋体" w:cs="宋体"/>
                <w:b/>
                <w:bCs/>
                <w:color w:val="BA0707"/>
                <w:kern w:val="0"/>
                <w:sz w:val="72"/>
                <w:szCs w:val="72"/>
              </w:rPr>
              <w:t>决算公开</w:t>
            </w:r>
          </w:p>
        </w:tc>
      </w:tr>
      <w:tr>
        <w:tblPrEx>
          <w:tblBorders>
            <w:top w:val="single" w:color="D8D6D6" w:sz="4" w:space="0"/>
            <w:left w:val="single" w:color="D8D6D6" w:sz="4" w:space="0"/>
            <w:bottom w:val="single" w:color="D8D6D6" w:sz="4" w:space="0"/>
            <w:right w:val="single" w:color="D8D6D6" w:sz="4"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5" w:hRule="atLeast"/>
          <w:tblCellSpacing w:w="0" w:type="dxa"/>
          <w:jc w:val="center"/>
        </w:trPr>
        <w:tc>
          <w:tcPr>
            <w:tcW w:w="13575" w:type="dxa"/>
            <w:shd w:val="clear" w:color="auto" w:fill="FFFFFF"/>
            <w:tcMar>
              <w:top w:w="0" w:type="dxa"/>
              <w:left w:w="563" w:type="dxa"/>
              <w:bottom w:w="0" w:type="dxa"/>
              <w:right w:w="563" w:type="dxa"/>
            </w:tcMar>
            <w:vAlign w:val="center"/>
          </w:tcPr>
          <w:p>
            <w:pPr>
              <w:widowControl/>
              <w:spacing w:before="125"/>
              <w:jc w:val="center"/>
              <w:rPr>
                <w:rFonts w:ascii="Verdana" w:hAnsi="Verdana" w:eastAsia="宋体" w:cs="宋体"/>
                <w:color w:val="212121"/>
                <w:kern w:val="0"/>
                <w:sz w:val="8"/>
                <w:szCs w:val="15"/>
              </w:rPr>
            </w:pPr>
          </w:p>
        </w:tc>
      </w:tr>
      <w:tr>
        <w:tblPrEx>
          <w:tblBorders>
            <w:top w:val="single" w:color="D8D6D6" w:sz="4" w:space="0"/>
            <w:left w:val="single" w:color="D8D6D6" w:sz="4" w:space="0"/>
            <w:bottom w:val="single" w:color="D8D6D6" w:sz="4" w:space="0"/>
            <w:right w:val="single" w:color="D8D6D6" w:sz="4"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0" w:type="dxa"/>
          <w:jc w:val="center"/>
        </w:trPr>
        <w:tc>
          <w:tcPr>
            <w:tcW w:w="13575" w:type="dxa"/>
            <w:shd w:val="clear" w:color="auto" w:fill="FFFFFF"/>
            <w:tcMar>
              <w:top w:w="0" w:type="dxa"/>
              <w:left w:w="563" w:type="dxa"/>
              <w:bottom w:w="0" w:type="dxa"/>
              <w:right w:w="563" w:type="dxa"/>
            </w:tcMar>
            <w:vAlign w:val="center"/>
          </w:tcPr>
          <w:tbl>
            <w:tblPr>
              <w:tblStyle w:val="6"/>
              <w:tblW w:w="12429" w:type="dxa"/>
              <w:jc w:val="center"/>
              <w:tblCellSpacing w:w="0" w:type="dxa"/>
              <w:tblInd w:w="0" w:type="dxa"/>
              <w:tblLayout w:type="fixed"/>
              <w:tblCellMar>
                <w:top w:w="0" w:type="dxa"/>
                <w:left w:w="0" w:type="dxa"/>
                <w:bottom w:w="0" w:type="dxa"/>
                <w:right w:w="0" w:type="dxa"/>
              </w:tblCellMar>
            </w:tblPr>
            <w:tblGrid>
              <w:gridCol w:w="12429"/>
            </w:tblGrid>
            <w:tr>
              <w:tblPrEx>
                <w:tblLayout w:type="fixed"/>
                <w:tblCellMar>
                  <w:top w:w="0" w:type="dxa"/>
                  <w:left w:w="0" w:type="dxa"/>
                  <w:bottom w:w="0" w:type="dxa"/>
                  <w:right w:w="0" w:type="dxa"/>
                </w:tblCellMar>
              </w:tblPrEx>
              <w:trPr>
                <w:trHeight w:val="75" w:hRule="atLeast"/>
                <w:tblCellSpacing w:w="0" w:type="dxa"/>
                <w:jc w:val="center"/>
              </w:trPr>
              <w:tc>
                <w:tcPr>
                  <w:tcW w:w="12429" w:type="dxa"/>
                  <w:vAlign w:val="center"/>
                </w:tcPr>
                <w:p>
                  <w:pPr>
                    <w:widowControl/>
                    <w:jc w:val="center"/>
                    <w:rPr>
                      <w:rFonts w:ascii="Verdana" w:hAnsi="Verdana" w:eastAsia="宋体" w:cs="宋体"/>
                      <w:color w:val="212121"/>
                      <w:kern w:val="0"/>
                      <w:sz w:val="8"/>
                      <w:szCs w:val="15"/>
                    </w:rPr>
                  </w:pPr>
                </w:p>
              </w:tc>
            </w:tr>
            <w:tr>
              <w:tblPrEx>
                <w:tblLayout w:type="fixed"/>
                <w:tblCellMar>
                  <w:top w:w="0" w:type="dxa"/>
                  <w:left w:w="0" w:type="dxa"/>
                  <w:bottom w:w="0" w:type="dxa"/>
                  <w:right w:w="0" w:type="dxa"/>
                </w:tblCellMar>
              </w:tblPrEx>
              <w:trPr>
                <w:trHeight w:val="75" w:hRule="atLeast"/>
                <w:tblCellSpacing w:w="0" w:type="dxa"/>
                <w:jc w:val="center"/>
              </w:trPr>
              <w:tc>
                <w:tcPr>
                  <w:tcW w:w="12429" w:type="dxa"/>
                  <w:vAlign w:val="center"/>
                </w:tcPr>
                <w:p>
                  <w:pPr>
                    <w:widowControl/>
                    <w:jc w:val="left"/>
                    <w:rPr>
                      <w:rFonts w:ascii="Verdana" w:hAnsi="Verdana" w:eastAsia="宋体" w:cs="宋体"/>
                      <w:kern w:val="0"/>
                      <w:sz w:val="8"/>
                      <w:szCs w:val="15"/>
                    </w:rPr>
                  </w:pPr>
                </w:p>
              </w:tc>
            </w:tr>
          </w:tbl>
          <w:p>
            <w:pPr>
              <w:widowControl/>
              <w:spacing w:before="125"/>
              <w:jc w:val="center"/>
              <w:rPr>
                <w:rFonts w:ascii="Verdana" w:hAnsi="Verdana" w:eastAsia="宋体" w:cs="宋体"/>
                <w:kern w:val="0"/>
                <w:sz w:val="15"/>
                <w:szCs w:val="15"/>
              </w:rPr>
            </w:pPr>
          </w:p>
        </w:tc>
      </w:tr>
      <w:tr>
        <w:tblPrEx>
          <w:tblBorders>
            <w:top w:val="single" w:color="D8D6D6" w:sz="4" w:space="0"/>
            <w:left w:val="single" w:color="D8D6D6" w:sz="4" w:space="0"/>
            <w:bottom w:val="single" w:color="D8D6D6" w:sz="4" w:space="0"/>
            <w:right w:val="single" w:color="D8D6D6" w:sz="4"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500" w:hRule="atLeast"/>
          <w:tblCellSpacing w:w="0" w:type="dxa"/>
          <w:jc w:val="center"/>
        </w:trPr>
        <w:tc>
          <w:tcPr>
            <w:tcW w:w="13575" w:type="dxa"/>
            <w:shd w:val="clear" w:color="auto" w:fill="FFFFFF"/>
            <w:tcMar>
              <w:top w:w="438" w:type="dxa"/>
              <w:left w:w="0" w:type="dxa"/>
              <w:bottom w:w="313" w:type="dxa"/>
              <w:right w:w="0" w:type="dxa"/>
            </w:tcMar>
          </w:tcPr>
          <w:p>
            <w:pPr>
              <w:widowControl/>
              <w:spacing w:line="584" w:lineRule="exact"/>
              <w:jc w:val="center"/>
              <w:rPr>
                <w:rFonts w:ascii="宋体" w:hAnsi="宋体" w:eastAsia="宋体" w:cs="宋体"/>
                <w:color w:val="484747"/>
                <w:kern w:val="0"/>
                <w:sz w:val="24"/>
                <w:szCs w:val="24"/>
              </w:rPr>
            </w:pPr>
            <w:r>
              <w:rPr>
                <w:rFonts w:hint="eastAsia" w:ascii="方正小标宋简体" w:hAnsi="Calibri" w:eastAsia="方正小标宋简体" w:cs="宋体"/>
                <w:color w:val="484747"/>
                <w:sz w:val="44"/>
                <w:szCs w:val="44"/>
              </w:rPr>
              <w:t>部门决算公开目录</w:t>
            </w:r>
          </w:p>
          <w:p>
            <w:pPr>
              <w:widowControl/>
              <w:spacing w:line="584" w:lineRule="exact"/>
              <w:ind w:firstLine="640" w:firstLineChars="200"/>
              <w:jc w:val="left"/>
              <w:rPr>
                <w:rFonts w:ascii="宋体" w:hAnsi="宋体" w:eastAsia="宋体" w:cs="宋体"/>
                <w:color w:val="484747"/>
                <w:kern w:val="0"/>
                <w:sz w:val="24"/>
                <w:szCs w:val="24"/>
              </w:rPr>
            </w:pPr>
            <w:r>
              <w:rPr>
                <w:rFonts w:hint="eastAsia" w:ascii="黑体" w:hAnsi="黑体" w:eastAsia="黑体" w:cs="宋体"/>
                <w:color w:val="484747"/>
                <w:sz w:val="32"/>
                <w:szCs w:val="32"/>
                <w:lang w:eastAsia="zh-CN"/>
              </w:rPr>
              <w:t>第一部分</w:t>
            </w:r>
            <w:r>
              <w:rPr>
                <w:rFonts w:hint="eastAsia" w:ascii="黑体" w:hAnsi="黑体" w:eastAsia="黑体" w:cs="宋体"/>
                <w:color w:val="484747"/>
                <w:sz w:val="32"/>
                <w:szCs w:val="32"/>
                <w:lang w:val="en-US" w:eastAsia="zh-CN"/>
              </w:rPr>
              <w:t xml:space="preserve">  </w:t>
            </w:r>
            <w:r>
              <w:rPr>
                <w:rFonts w:hint="eastAsia" w:ascii="黑体" w:hAnsi="黑体" w:eastAsia="黑体" w:cs="宋体"/>
                <w:color w:val="484747"/>
                <w:sz w:val="32"/>
                <w:szCs w:val="32"/>
              </w:rPr>
              <w:t>大城县水务局部门概况</w:t>
            </w:r>
          </w:p>
          <w:p>
            <w:pPr>
              <w:widowControl/>
              <w:spacing w:line="584" w:lineRule="exact"/>
              <w:ind w:firstLine="1273" w:firstLineChars="398"/>
              <w:jc w:val="left"/>
              <w:rPr>
                <w:rFonts w:ascii="宋体" w:hAnsi="宋体" w:eastAsia="宋体" w:cs="宋体"/>
                <w:color w:val="484747"/>
                <w:kern w:val="0"/>
                <w:sz w:val="24"/>
                <w:szCs w:val="24"/>
              </w:rPr>
            </w:pPr>
            <w:r>
              <w:rPr>
                <w:rFonts w:hint="eastAsia" w:ascii="仿宋_GB2312" w:hAnsi="Calibri" w:eastAsia="仿宋_GB2312" w:cs="宋体"/>
                <w:color w:val="484747"/>
                <w:sz w:val="32"/>
                <w:szCs w:val="32"/>
              </w:rPr>
              <w:t>一</w:t>
            </w:r>
            <w:r>
              <w:rPr>
                <w:rFonts w:hint="eastAsia" w:ascii="仿宋_GB2312" w:hAnsi="Calibri" w:eastAsia="仿宋_GB2312" w:cs="宋体"/>
                <w:color w:val="484747"/>
                <w:sz w:val="32"/>
                <w:szCs w:val="32"/>
                <w:lang w:eastAsia="zh-CN"/>
              </w:rPr>
              <w:t>、</w:t>
            </w:r>
            <w:r>
              <w:rPr>
                <w:rFonts w:hint="eastAsia" w:ascii="仿宋_GB2312" w:hAnsi="Calibri" w:eastAsia="仿宋_GB2312" w:cs="宋体"/>
                <w:color w:val="484747"/>
                <w:sz w:val="32"/>
                <w:szCs w:val="32"/>
              </w:rPr>
              <w:t>部门职责</w:t>
            </w:r>
          </w:p>
          <w:p>
            <w:pPr>
              <w:widowControl/>
              <w:spacing w:line="584" w:lineRule="exact"/>
              <w:ind w:firstLine="1273" w:firstLineChars="398"/>
              <w:jc w:val="left"/>
              <w:rPr>
                <w:rFonts w:ascii="宋体" w:hAnsi="宋体" w:eastAsia="宋体" w:cs="宋体"/>
                <w:color w:val="484747"/>
                <w:kern w:val="0"/>
                <w:sz w:val="24"/>
                <w:szCs w:val="24"/>
              </w:rPr>
            </w:pPr>
            <w:r>
              <w:rPr>
                <w:rFonts w:hint="eastAsia" w:ascii="仿宋_GB2312" w:hAnsi="Calibri" w:eastAsia="仿宋_GB2312" w:cs="宋体"/>
                <w:color w:val="484747"/>
                <w:sz w:val="32"/>
                <w:szCs w:val="32"/>
              </w:rPr>
              <w:t>二</w:t>
            </w:r>
            <w:r>
              <w:rPr>
                <w:rFonts w:hint="eastAsia" w:ascii="仿宋_GB2312" w:hAnsi="Calibri" w:eastAsia="仿宋_GB2312" w:cs="宋体"/>
                <w:color w:val="484747"/>
                <w:sz w:val="32"/>
                <w:szCs w:val="32"/>
                <w:lang w:eastAsia="zh-CN"/>
              </w:rPr>
              <w:t>、</w:t>
            </w:r>
            <w:r>
              <w:rPr>
                <w:rFonts w:hint="eastAsia" w:ascii="仿宋_GB2312" w:hAnsi="Calibri" w:eastAsia="仿宋_GB2312" w:cs="宋体"/>
                <w:color w:val="484747"/>
                <w:sz w:val="32"/>
                <w:szCs w:val="32"/>
              </w:rPr>
              <w:t>机构设置</w:t>
            </w:r>
          </w:p>
          <w:p>
            <w:pPr>
              <w:widowControl/>
              <w:spacing w:line="584" w:lineRule="exact"/>
              <w:ind w:firstLine="640"/>
              <w:jc w:val="left"/>
              <w:rPr>
                <w:rFonts w:ascii="宋体" w:hAnsi="宋体" w:eastAsia="宋体" w:cs="宋体"/>
                <w:color w:val="484747"/>
                <w:kern w:val="0"/>
                <w:sz w:val="24"/>
                <w:szCs w:val="24"/>
              </w:rPr>
            </w:pPr>
            <w:r>
              <w:rPr>
                <w:rFonts w:hint="eastAsia" w:ascii="黑体" w:hAnsi="黑体" w:eastAsia="黑体" w:cs="宋体"/>
                <w:color w:val="484747"/>
                <w:sz w:val="32"/>
                <w:szCs w:val="32"/>
                <w:lang w:eastAsia="zh-CN"/>
              </w:rPr>
              <w:t>第二部分</w:t>
            </w:r>
            <w:r>
              <w:rPr>
                <w:rFonts w:hint="eastAsia" w:ascii="黑体" w:hAnsi="黑体" w:eastAsia="黑体" w:cs="宋体"/>
                <w:color w:val="484747"/>
                <w:sz w:val="32"/>
                <w:szCs w:val="32"/>
                <w:lang w:val="en-US" w:eastAsia="zh-CN"/>
              </w:rPr>
              <w:t xml:space="preserve">  </w:t>
            </w:r>
            <w:r>
              <w:rPr>
                <w:rFonts w:hint="eastAsia" w:ascii="黑体" w:hAnsi="黑体" w:eastAsia="黑体" w:cs="宋体"/>
                <w:color w:val="484747"/>
                <w:sz w:val="32"/>
                <w:szCs w:val="32"/>
              </w:rPr>
              <w:t>大城县水务局部门</w:t>
            </w:r>
            <w:r>
              <w:rPr>
                <w:rFonts w:ascii="Calibri" w:hAnsi="Calibri" w:eastAsia="黑体" w:cs="宋体"/>
                <w:color w:val="484747"/>
                <w:sz w:val="32"/>
                <w:szCs w:val="32"/>
              </w:rPr>
              <w:t>201</w:t>
            </w:r>
            <w:r>
              <w:rPr>
                <w:rFonts w:hint="eastAsia" w:ascii="Calibri" w:hAnsi="Calibri" w:eastAsia="黑体" w:cs="宋体"/>
                <w:color w:val="484747"/>
                <w:sz w:val="32"/>
                <w:szCs w:val="32"/>
                <w:lang w:val="en-US" w:eastAsia="zh-CN"/>
              </w:rPr>
              <w:t>7</w:t>
            </w:r>
            <w:r>
              <w:rPr>
                <w:rFonts w:hint="eastAsia" w:ascii="黑体" w:hAnsi="黑体" w:eastAsia="黑体" w:cs="宋体"/>
                <w:color w:val="484747"/>
                <w:sz w:val="32"/>
                <w:szCs w:val="32"/>
              </w:rPr>
              <w:t>年度部门决算报表</w:t>
            </w:r>
          </w:p>
          <w:p>
            <w:pPr>
              <w:widowControl/>
              <w:spacing w:line="584" w:lineRule="exact"/>
              <w:ind w:firstLine="1273" w:firstLineChars="398"/>
              <w:jc w:val="left"/>
              <w:rPr>
                <w:rFonts w:ascii="宋体" w:hAnsi="宋体" w:eastAsia="宋体" w:cs="宋体"/>
                <w:color w:val="484747"/>
                <w:kern w:val="0"/>
                <w:sz w:val="24"/>
                <w:szCs w:val="24"/>
              </w:rPr>
            </w:pPr>
            <w:r>
              <w:rPr>
                <w:rFonts w:hint="eastAsia" w:ascii="仿宋_GB2312" w:hAnsi="Calibri" w:eastAsia="仿宋_GB2312" w:cs="宋体"/>
                <w:color w:val="484747"/>
                <w:sz w:val="32"/>
                <w:szCs w:val="32"/>
              </w:rPr>
              <w:t>一</w:t>
            </w:r>
            <w:r>
              <w:rPr>
                <w:rFonts w:hint="eastAsia" w:ascii="仿宋_GB2312" w:hAnsi="Calibri" w:eastAsia="仿宋_GB2312" w:cs="宋体"/>
                <w:color w:val="484747"/>
                <w:sz w:val="32"/>
                <w:szCs w:val="32"/>
                <w:lang w:eastAsia="zh-CN"/>
              </w:rPr>
              <w:t>、</w:t>
            </w:r>
            <w:r>
              <w:rPr>
                <w:rFonts w:hint="eastAsia" w:ascii="仿宋_GB2312" w:hAnsi="Calibri" w:eastAsia="仿宋_GB2312" w:cs="宋体"/>
                <w:color w:val="484747"/>
                <w:sz w:val="32"/>
                <w:szCs w:val="32"/>
              </w:rPr>
              <w:t>收入支出决算总表</w:t>
            </w:r>
          </w:p>
          <w:p>
            <w:pPr>
              <w:widowControl/>
              <w:spacing w:line="584" w:lineRule="exact"/>
              <w:ind w:firstLine="1273" w:firstLineChars="398"/>
              <w:jc w:val="left"/>
              <w:rPr>
                <w:rFonts w:ascii="宋体" w:hAnsi="宋体" w:eastAsia="宋体" w:cs="宋体"/>
                <w:color w:val="484747"/>
                <w:kern w:val="0"/>
                <w:sz w:val="24"/>
                <w:szCs w:val="24"/>
              </w:rPr>
            </w:pPr>
            <w:r>
              <w:rPr>
                <w:rFonts w:hint="eastAsia" w:ascii="仿宋_GB2312" w:hAnsi="Calibri" w:eastAsia="仿宋_GB2312" w:cs="宋体"/>
                <w:color w:val="484747"/>
                <w:sz w:val="32"/>
                <w:szCs w:val="32"/>
              </w:rPr>
              <w:t>二</w:t>
            </w:r>
            <w:r>
              <w:rPr>
                <w:rFonts w:hint="eastAsia" w:ascii="仿宋_GB2312" w:hAnsi="Calibri" w:eastAsia="仿宋_GB2312" w:cs="宋体"/>
                <w:color w:val="484747"/>
                <w:sz w:val="32"/>
                <w:szCs w:val="32"/>
                <w:lang w:eastAsia="zh-CN"/>
              </w:rPr>
              <w:t>、</w:t>
            </w:r>
            <w:r>
              <w:rPr>
                <w:rFonts w:hint="eastAsia" w:ascii="仿宋_GB2312" w:hAnsi="Calibri" w:eastAsia="仿宋_GB2312" w:cs="宋体"/>
                <w:color w:val="484747"/>
                <w:sz w:val="32"/>
                <w:szCs w:val="32"/>
              </w:rPr>
              <w:t>收入决算表</w:t>
            </w:r>
          </w:p>
          <w:p>
            <w:pPr>
              <w:widowControl/>
              <w:spacing w:line="584" w:lineRule="exact"/>
              <w:ind w:firstLine="1273" w:firstLineChars="398"/>
              <w:jc w:val="left"/>
              <w:rPr>
                <w:rFonts w:ascii="宋体" w:hAnsi="宋体" w:eastAsia="宋体" w:cs="宋体"/>
                <w:color w:val="484747"/>
                <w:kern w:val="0"/>
                <w:sz w:val="24"/>
                <w:szCs w:val="24"/>
              </w:rPr>
            </w:pPr>
            <w:r>
              <w:rPr>
                <w:rFonts w:hint="eastAsia" w:ascii="仿宋_GB2312" w:hAnsi="Calibri" w:eastAsia="仿宋_GB2312" w:cs="宋体"/>
                <w:color w:val="484747"/>
                <w:sz w:val="32"/>
                <w:szCs w:val="32"/>
              </w:rPr>
              <w:t>三</w:t>
            </w:r>
            <w:r>
              <w:rPr>
                <w:rFonts w:hint="eastAsia" w:ascii="仿宋_GB2312" w:hAnsi="Calibri" w:eastAsia="仿宋_GB2312" w:cs="宋体"/>
                <w:color w:val="484747"/>
                <w:sz w:val="32"/>
                <w:szCs w:val="32"/>
                <w:lang w:eastAsia="zh-CN"/>
              </w:rPr>
              <w:t>、</w:t>
            </w:r>
            <w:r>
              <w:rPr>
                <w:rFonts w:hint="eastAsia" w:ascii="仿宋_GB2312" w:hAnsi="Calibri" w:eastAsia="仿宋_GB2312" w:cs="宋体"/>
                <w:color w:val="484747"/>
                <w:sz w:val="32"/>
                <w:szCs w:val="32"/>
              </w:rPr>
              <w:t>支出决算表</w:t>
            </w:r>
          </w:p>
          <w:p>
            <w:pPr>
              <w:widowControl/>
              <w:spacing w:line="584" w:lineRule="exact"/>
              <w:ind w:firstLine="1273" w:firstLineChars="398"/>
              <w:jc w:val="left"/>
              <w:rPr>
                <w:rFonts w:ascii="宋体" w:hAnsi="宋体" w:eastAsia="宋体" w:cs="宋体"/>
                <w:color w:val="484747"/>
                <w:kern w:val="0"/>
                <w:sz w:val="24"/>
                <w:szCs w:val="24"/>
              </w:rPr>
            </w:pPr>
            <w:r>
              <w:rPr>
                <w:rFonts w:hint="eastAsia" w:ascii="仿宋_GB2312" w:hAnsi="Calibri" w:eastAsia="仿宋_GB2312" w:cs="宋体"/>
                <w:color w:val="484747"/>
                <w:sz w:val="32"/>
                <w:szCs w:val="32"/>
              </w:rPr>
              <w:t>四</w:t>
            </w:r>
            <w:r>
              <w:rPr>
                <w:rFonts w:hint="eastAsia" w:ascii="仿宋_GB2312" w:hAnsi="Calibri" w:eastAsia="仿宋_GB2312" w:cs="宋体"/>
                <w:color w:val="484747"/>
                <w:sz w:val="32"/>
                <w:szCs w:val="32"/>
                <w:lang w:eastAsia="zh-CN"/>
              </w:rPr>
              <w:t>、</w:t>
            </w:r>
            <w:r>
              <w:rPr>
                <w:rFonts w:hint="eastAsia" w:ascii="仿宋_GB2312" w:hAnsi="Calibri" w:eastAsia="仿宋_GB2312" w:cs="宋体"/>
                <w:color w:val="484747"/>
                <w:sz w:val="32"/>
                <w:szCs w:val="32"/>
              </w:rPr>
              <w:t>财政拨款收入支出决算总表</w:t>
            </w:r>
          </w:p>
          <w:p>
            <w:pPr>
              <w:widowControl/>
              <w:spacing w:line="584" w:lineRule="exact"/>
              <w:ind w:firstLine="1273" w:firstLineChars="398"/>
              <w:jc w:val="left"/>
              <w:rPr>
                <w:rFonts w:ascii="宋体" w:hAnsi="宋体" w:eastAsia="宋体" w:cs="宋体"/>
                <w:color w:val="484747"/>
                <w:kern w:val="0"/>
                <w:sz w:val="24"/>
                <w:szCs w:val="24"/>
              </w:rPr>
            </w:pPr>
            <w:r>
              <w:rPr>
                <w:rFonts w:hint="eastAsia" w:ascii="仿宋_GB2312" w:hAnsi="Calibri" w:eastAsia="仿宋_GB2312" w:cs="宋体"/>
                <w:color w:val="484747"/>
                <w:sz w:val="32"/>
                <w:szCs w:val="32"/>
              </w:rPr>
              <w:t>五</w:t>
            </w:r>
            <w:r>
              <w:rPr>
                <w:rFonts w:hint="eastAsia" w:ascii="仿宋_GB2312" w:hAnsi="Calibri" w:eastAsia="仿宋_GB2312" w:cs="宋体"/>
                <w:color w:val="484747"/>
                <w:sz w:val="32"/>
                <w:szCs w:val="32"/>
                <w:lang w:eastAsia="zh-CN"/>
              </w:rPr>
              <w:t>、</w:t>
            </w:r>
            <w:r>
              <w:rPr>
                <w:rFonts w:hint="eastAsia" w:ascii="仿宋_GB2312" w:hAnsi="Calibri" w:eastAsia="仿宋_GB2312" w:cs="宋体"/>
                <w:color w:val="484747"/>
                <w:sz w:val="32"/>
                <w:szCs w:val="32"/>
              </w:rPr>
              <w:t>一般公共预算财政拨款</w:t>
            </w:r>
            <w:r>
              <w:rPr>
                <w:rFonts w:hint="eastAsia" w:ascii="仿宋_GB2312" w:hAnsi="Calibri" w:eastAsia="仿宋_GB2312" w:cs="宋体"/>
                <w:color w:val="484747"/>
                <w:sz w:val="32"/>
                <w:szCs w:val="32"/>
                <w:lang w:eastAsia="zh-CN"/>
              </w:rPr>
              <w:t>收入</w:t>
            </w:r>
            <w:r>
              <w:rPr>
                <w:rFonts w:hint="eastAsia" w:ascii="仿宋_GB2312" w:hAnsi="Calibri" w:eastAsia="仿宋_GB2312" w:cs="宋体"/>
                <w:color w:val="484747"/>
                <w:sz w:val="32"/>
                <w:szCs w:val="32"/>
              </w:rPr>
              <w:t>支出决算表</w:t>
            </w:r>
          </w:p>
          <w:p>
            <w:pPr>
              <w:widowControl/>
              <w:spacing w:line="584" w:lineRule="exact"/>
              <w:ind w:firstLine="1273" w:firstLineChars="398"/>
              <w:jc w:val="left"/>
              <w:rPr>
                <w:rFonts w:hint="eastAsia" w:ascii="宋体" w:hAnsi="宋体" w:eastAsia="仿宋_GB2312" w:cs="宋体"/>
                <w:color w:val="484747"/>
                <w:kern w:val="0"/>
                <w:sz w:val="24"/>
                <w:szCs w:val="24"/>
                <w:lang w:eastAsia="zh-CN"/>
              </w:rPr>
            </w:pPr>
            <w:r>
              <w:rPr>
                <w:rFonts w:hint="eastAsia" w:ascii="仿宋_GB2312" w:hAnsi="Calibri" w:eastAsia="仿宋_GB2312" w:cs="宋体"/>
                <w:color w:val="484747"/>
                <w:sz w:val="32"/>
                <w:szCs w:val="32"/>
              </w:rPr>
              <w:t>六</w:t>
            </w:r>
            <w:r>
              <w:rPr>
                <w:rFonts w:hint="eastAsia" w:ascii="仿宋_GB2312" w:hAnsi="Calibri" w:eastAsia="仿宋_GB2312" w:cs="宋体"/>
                <w:color w:val="484747"/>
                <w:sz w:val="32"/>
                <w:szCs w:val="32"/>
                <w:lang w:eastAsia="zh-CN"/>
              </w:rPr>
              <w:t>、</w:t>
            </w:r>
            <w:r>
              <w:rPr>
                <w:rFonts w:hint="eastAsia" w:ascii="仿宋_GB2312" w:hAnsi="Calibri" w:eastAsia="仿宋_GB2312" w:cs="宋体"/>
                <w:color w:val="484747"/>
                <w:sz w:val="32"/>
                <w:szCs w:val="32"/>
              </w:rPr>
              <w:t>一般公共预算财政拨款基本支出决算</w:t>
            </w:r>
            <w:r>
              <w:rPr>
                <w:rFonts w:hint="eastAsia" w:ascii="仿宋_GB2312" w:hAnsi="Calibri" w:eastAsia="仿宋_GB2312" w:cs="宋体"/>
                <w:color w:val="484747"/>
                <w:sz w:val="32"/>
                <w:szCs w:val="32"/>
                <w:lang w:eastAsia="zh-CN"/>
              </w:rPr>
              <w:t>经济分类表</w:t>
            </w:r>
          </w:p>
          <w:p>
            <w:pPr>
              <w:widowControl/>
              <w:spacing w:line="584" w:lineRule="exact"/>
              <w:ind w:firstLine="1280" w:firstLineChars="400"/>
              <w:jc w:val="left"/>
              <w:rPr>
                <w:rFonts w:ascii="宋体" w:hAnsi="宋体" w:eastAsia="宋体" w:cs="宋体"/>
                <w:color w:val="484747"/>
                <w:kern w:val="0"/>
                <w:sz w:val="24"/>
                <w:szCs w:val="24"/>
              </w:rPr>
            </w:pPr>
            <w:r>
              <w:rPr>
                <w:rFonts w:hint="eastAsia" w:ascii="仿宋_GB2312" w:hAnsi="Calibri" w:eastAsia="仿宋_GB2312" w:cs="宋体"/>
                <w:color w:val="484747"/>
                <w:sz w:val="32"/>
                <w:szCs w:val="32"/>
              </w:rPr>
              <w:t>七</w:t>
            </w:r>
            <w:r>
              <w:rPr>
                <w:rFonts w:hint="eastAsia" w:ascii="仿宋_GB2312" w:hAnsi="Calibri" w:eastAsia="仿宋_GB2312" w:cs="宋体"/>
                <w:color w:val="484747"/>
                <w:sz w:val="32"/>
                <w:szCs w:val="32"/>
                <w:lang w:eastAsia="zh-CN"/>
              </w:rPr>
              <w:t>、</w:t>
            </w:r>
            <w:r>
              <w:rPr>
                <w:rFonts w:hint="eastAsia" w:ascii="仿宋_GB2312" w:hAnsi="Calibri" w:eastAsia="仿宋_GB2312" w:cs="宋体"/>
                <w:color w:val="484747"/>
                <w:sz w:val="32"/>
                <w:szCs w:val="32"/>
              </w:rPr>
              <w:t>政府性基金预算财政拨款收入支出决算表</w:t>
            </w:r>
          </w:p>
          <w:p>
            <w:pPr>
              <w:widowControl/>
              <w:spacing w:line="584" w:lineRule="exact"/>
              <w:ind w:firstLine="1273" w:firstLineChars="398"/>
              <w:jc w:val="left"/>
              <w:rPr>
                <w:rFonts w:ascii="宋体" w:hAnsi="宋体" w:eastAsia="宋体" w:cs="宋体"/>
                <w:color w:val="484747"/>
                <w:kern w:val="0"/>
                <w:sz w:val="24"/>
                <w:szCs w:val="24"/>
              </w:rPr>
            </w:pPr>
            <w:r>
              <w:rPr>
                <w:rFonts w:hint="eastAsia" w:ascii="仿宋_GB2312" w:hAnsi="Calibri" w:eastAsia="仿宋_GB2312" w:cs="宋体"/>
                <w:color w:val="484747"/>
                <w:sz w:val="32"/>
                <w:szCs w:val="32"/>
              </w:rPr>
              <w:t>八</w:t>
            </w:r>
            <w:r>
              <w:rPr>
                <w:rFonts w:hint="eastAsia" w:ascii="仿宋_GB2312" w:hAnsi="Calibri" w:eastAsia="仿宋_GB2312" w:cs="宋体"/>
                <w:color w:val="484747"/>
                <w:sz w:val="32"/>
                <w:szCs w:val="32"/>
                <w:lang w:eastAsia="zh-CN"/>
              </w:rPr>
              <w:t>、</w:t>
            </w:r>
            <w:r>
              <w:rPr>
                <w:rFonts w:hint="eastAsia" w:ascii="仿宋_GB2312" w:hAnsi="Calibri" w:eastAsia="仿宋_GB2312" w:cs="宋体"/>
                <w:color w:val="484747"/>
                <w:sz w:val="32"/>
                <w:szCs w:val="32"/>
              </w:rPr>
              <w:t>国有资本经营预算财政拨款</w:t>
            </w:r>
            <w:r>
              <w:rPr>
                <w:rFonts w:hint="eastAsia" w:ascii="仿宋_GB2312" w:hAnsi="Calibri" w:eastAsia="仿宋_GB2312" w:cs="宋体"/>
                <w:color w:val="484747"/>
                <w:sz w:val="32"/>
                <w:szCs w:val="32"/>
                <w:lang w:eastAsia="zh-CN"/>
              </w:rPr>
              <w:t>收入</w:t>
            </w:r>
            <w:r>
              <w:rPr>
                <w:rFonts w:hint="eastAsia" w:ascii="仿宋_GB2312" w:hAnsi="Calibri" w:eastAsia="仿宋_GB2312" w:cs="宋体"/>
                <w:color w:val="484747"/>
                <w:sz w:val="32"/>
                <w:szCs w:val="32"/>
              </w:rPr>
              <w:t>支出决算表</w:t>
            </w:r>
          </w:p>
          <w:p>
            <w:pPr>
              <w:widowControl/>
              <w:spacing w:line="584" w:lineRule="exact"/>
              <w:ind w:firstLine="1280" w:firstLineChars="400"/>
              <w:jc w:val="left"/>
              <w:rPr>
                <w:rFonts w:ascii="宋体" w:hAnsi="宋体" w:eastAsia="宋体" w:cs="宋体"/>
                <w:color w:val="484747"/>
                <w:kern w:val="0"/>
                <w:sz w:val="24"/>
                <w:szCs w:val="24"/>
              </w:rPr>
            </w:pPr>
            <w:r>
              <w:rPr>
                <w:rFonts w:hint="eastAsia" w:ascii="仿宋_GB2312" w:hAnsi="Calibri" w:eastAsia="仿宋_GB2312" w:cs="宋体"/>
                <w:color w:val="484747"/>
                <w:sz w:val="32"/>
                <w:szCs w:val="32"/>
              </w:rPr>
              <w:t>九</w:t>
            </w:r>
            <w:r>
              <w:rPr>
                <w:rFonts w:hint="eastAsia" w:ascii="仿宋_GB2312" w:hAnsi="Calibri" w:eastAsia="仿宋_GB2312" w:cs="宋体"/>
                <w:color w:val="484747"/>
                <w:sz w:val="32"/>
                <w:szCs w:val="32"/>
                <w:lang w:eastAsia="zh-CN"/>
              </w:rPr>
              <w:t>、</w:t>
            </w:r>
            <w:r>
              <w:rPr>
                <w:rFonts w:ascii="Calibri" w:hAnsi="Calibri" w:eastAsia="仿宋_GB2312" w:cs="宋体"/>
                <w:color w:val="484747"/>
                <w:sz w:val="32"/>
                <w:szCs w:val="32"/>
              </w:rPr>
              <w:t>“</w:t>
            </w:r>
            <w:r>
              <w:rPr>
                <w:rFonts w:hint="eastAsia" w:ascii="仿宋_GB2312" w:hAnsi="Calibri" w:eastAsia="仿宋_GB2312" w:cs="宋体"/>
                <w:color w:val="484747"/>
                <w:sz w:val="32"/>
                <w:szCs w:val="32"/>
              </w:rPr>
              <w:t>三公</w:t>
            </w:r>
            <w:r>
              <w:rPr>
                <w:rFonts w:ascii="Calibri" w:hAnsi="Calibri" w:eastAsia="仿宋_GB2312" w:cs="宋体"/>
                <w:color w:val="484747"/>
                <w:sz w:val="32"/>
                <w:szCs w:val="32"/>
              </w:rPr>
              <w:t>”</w:t>
            </w:r>
            <w:r>
              <w:rPr>
                <w:rFonts w:hint="eastAsia" w:ascii="仿宋_GB2312" w:hAnsi="Calibri" w:eastAsia="仿宋_GB2312" w:cs="宋体"/>
                <w:color w:val="484747"/>
                <w:sz w:val="32"/>
                <w:szCs w:val="32"/>
              </w:rPr>
              <w:t>经费</w:t>
            </w:r>
            <w:r>
              <w:rPr>
                <w:rFonts w:hint="eastAsia" w:ascii="仿宋_GB2312" w:hAnsi="Calibri" w:eastAsia="仿宋_GB2312" w:cs="宋体"/>
                <w:color w:val="484747"/>
                <w:sz w:val="32"/>
                <w:szCs w:val="32"/>
                <w:lang w:eastAsia="zh-CN"/>
              </w:rPr>
              <w:t>等</w:t>
            </w:r>
            <w:r>
              <w:rPr>
                <w:rFonts w:hint="eastAsia" w:ascii="仿宋_GB2312" w:hAnsi="Calibri" w:eastAsia="仿宋_GB2312" w:cs="宋体"/>
                <w:color w:val="484747"/>
                <w:sz w:val="32"/>
                <w:szCs w:val="32"/>
              </w:rPr>
              <w:t>相关信息统计表</w:t>
            </w:r>
          </w:p>
          <w:p>
            <w:pPr>
              <w:widowControl/>
              <w:spacing w:line="584" w:lineRule="exact"/>
              <w:ind w:firstLine="1273" w:firstLineChars="398"/>
              <w:jc w:val="left"/>
              <w:rPr>
                <w:rFonts w:ascii="宋体" w:hAnsi="宋体" w:eastAsia="宋体" w:cs="宋体"/>
                <w:color w:val="484747"/>
                <w:kern w:val="0"/>
                <w:sz w:val="24"/>
                <w:szCs w:val="24"/>
              </w:rPr>
            </w:pPr>
            <w:r>
              <w:rPr>
                <w:rFonts w:hint="eastAsia" w:ascii="仿宋_GB2312" w:hAnsi="Calibri" w:eastAsia="仿宋_GB2312" w:cs="宋体"/>
                <w:color w:val="484747"/>
                <w:sz w:val="32"/>
                <w:szCs w:val="32"/>
              </w:rPr>
              <w:t>十</w:t>
            </w:r>
            <w:r>
              <w:rPr>
                <w:rFonts w:hint="eastAsia" w:ascii="仿宋_GB2312" w:hAnsi="Calibri" w:eastAsia="仿宋_GB2312" w:cs="宋体"/>
                <w:color w:val="484747"/>
                <w:sz w:val="32"/>
                <w:szCs w:val="32"/>
                <w:lang w:eastAsia="zh-CN"/>
              </w:rPr>
              <w:t>、</w:t>
            </w:r>
            <w:r>
              <w:rPr>
                <w:rFonts w:hint="eastAsia" w:ascii="仿宋_GB2312" w:hAnsi="Calibri" w:eastAsia="仿宋_GB2312" w:cs="宋体"/>
                <w:color w:val="484747"/>
                <w:sz w:val="32"/>
                <w:szCs w:val="32"/>
              </w:rPr>
              <w:t>政府采购情况表</w:t>
            </w:r>
          </w:p>
          <w:p>
            <w:pPr>
              <w:widowControl/>
              <w:spacing w:line="584" w:lineRule="exact"/>
              <w:ind w:firstLine="640"/>
              <w:jc w:val="left"/>
              <w:rPr>
                <w:rFonts w:ascii="宋体" w:hAnsi="宋体" w:eastAsia="宋体" w:cs="宋体"/>
                <w:color w:val="484747"/>
                <w:kern w:val="0"/>
                <w:sz w:val="24"/>
                <w:szCs w:val="24"/>
              </w:rPr>
            </w:pPr>
            <w:r>
              <w:rPr>
                <w:rFonts w:hint="eastAsia" w:ascii="黑体" w:hAnsi="黑体" w:eastAsia="黑体" w:cs="宋体"/>
                <w:color w:val="484747"/>
                <w:sz w:val="32"/>
                <w:szCs w:val="32"/>
                <w:lang w:eastAsia="zh-CN"/>
              </w:rPr>
              <w:t>第三部分</w:t>
            </w:r>
            <w:r>
              <w:rPr>
                <w:rFonts w:hint="eastAsia" w:ascii="黑体" w:hAnsi="黑体" w:eastAsia="黑体" w:cs="宋体"/>
                <w:color w:val="484747"/>
                <w:sz w:val="32"/>
                <w:szCs w:val="32"/>
                <w:lang w:val="en-US" w:eastAsia="zh-CN"/>
              </w:rPr>
              <w:t xml:space="preserve">  </w:t>
            </w:r>
            <w:r>
              <w:rPr>
                <w:rFonts w:ascii="Calibri" w:hAnsi="Calibri" w:eastAsia="黑体" w:cs="宋体"/>
                <w:color w:val="484747"/>
                <w:sz w:val="32"/>
                <w:szCs w:val="32"/>
              </w:rPr>
              <w:t xml:space="preserve"> </w:t>
            </w:r>
            <w:r>
              <w:rPr>
                <w:rFonts w:hint="eastAsia" w:ascii="黑体" w:hAnsi="黑体" w:eastAsia="黑体" w:cs="宋体"/>
                <w:color w:val="484747"/>
                <w:sz w:val="32"/>
                <w:szCs w:val="32"/>
              </w:rPr>
              <w:t>大城县水务局部门</w:t>
            </w:r>
            <w:r>
              <w:rPr>
                <w:rFonts w:ascii="Calibri" w:hAnsi="Calibri" w:eastAsia="黑体" w:cs="宋体"/>
                <w:color w:val="484747"/>
                <w:sz w:val="32"/>
                <w:szCs w:val="32"/>
              </w:rPr>
              <w:t>201</w:t>
            </w:r>
            <w:r>
              <w:rPr>
                <w:rFonts w:hint="eastAsia" w:ascii="Calibri" w:hAnsi="Calibri" w:eastAsia="黑体" w:cs="宋体"/>
                <w:color w:val="484747"/>
                <w:sz w:val="32"/>
                <w:szCs w:val="32"/>
                <w:lang w:val="en-US" w:eastAsia="zh-CN"/>
              </w:rPr>
              <w:t>7</w:t>
            </w:r>
            <w:r>
              <w:rPr>
                <w:rFonts w:hint="eastAsia" w:ascii="黑体" w:hAnsi="黑体" w:eastAsia="黑体" w:cs="宋体"/>
                <w:color w:val="484747"/>
                <w:sz w:val="32"/>
                <w:szCs w:val="32"/>
              </w:rPr>
              <w:t>年度部门决算情况说明</w:t>
            </w:r>
          </w:p>
          <w:p>
            <w:pPr>
              <w:spacing w:line="584" w:lineRule="exact"/>
              <w:ind w:left="640" w:firstLine="640" w:firstLineChars="200"/>
              <w:rPr>
                <w:rFonts w:eastAsia="仿宋_GB2312"/>
                <w:sz w:val="32"/>
                <w:szCs w:val="32"/>
              </w:rPr>
            </w:pPr>
            <w:r>
              <w:rPr>
                <w:rFonts w:eastAsia="仿宋_GB2312"/>
                <w:sz w:val="32"/>
                <w:szCs w:val="32"/>
              </w:rPr>
              <w:t>一、收入支出决算总体情况说明</w:t>
            </w:r>
          </w:p>
          <w:p>
            <w:pPr>
              <w:spacing w:line="584" w:lineRule="exact"/>
              <w:ind w:left="640" w:firstLine="640" w:firstLineChars="200"/>
              <w:rPr>
                <w:rFonts w:eastAsia="仿宋_GB2312"/>
                <w:sz w:val="32"/>
                <w:szCs w:val="32"/>
              </w:rPr>
            </w:pPr>
            <w:r>
              <w:rPr>
                <w:rFonts w:eastAsia="仿宋_GB2312"/>
                <w:sz w:val="32"/>
                <w:szCs w:val="32"/>
              </w:rPr>
              <w:t>二、收入决算情况说明</w:t>
            </w:r>
          </w:p>
          <w:p>
            <w:pPr>
              <w:spacing w:line="584" w:lineRule="exact"/>
              <w:ind w:left="640" w:firstLine="640" w:firstLineChars="200"/>
              <w:rPr>
                <w:rFonts w:eastAsia="仿宋_GB2312"/>
                <w:sz w:val="32"/>
                <w:szCs w:val="32"/>
              </w:rPr>
            </w:pPr>
            <w:r>
              <w:rPr>
                <w:rFonts w:eastAsia="仿宋_GB2312"/>
                <w:sz w:val="32"/>
                <w:szCs w:val="32"/>
              </w:rPr>
              <w:t>三、支出决算情况说明</w:t>
            </w:r>
          </w:p>
          <w:p>
            <w:pPr>
              <w:spacing w:line="584" w:lineRule="exact"/>
              <w:ind w:left="640" w:firstLine="640" w:firstLineChars="200"/>
              <w:rPr>
                <w:rFonts w:eastAsia="仿宋_GB2312"/>
                <w:sz w:val="32"/>
                <w:szCs w:val="32"/>
              </w:rPr>
            </w:pPr>
            <w:r>
              <w:rPr>
                <w:rFonts w:eastAsia="仿宋_GB2312"/>
                <w:sz w:val="32"/>
                <w:szCs w:val="32"/>
              </w:rPr>
              <w:t>四、财政拨款收入支出决算总体情况说明</w:t>
            </w:r>
          </w:p>
          <w:p>
            <w:pPr>
              <w:spacing w:line="584" w:lineRule="exact"/>
              <w:ind w:left="640" w:firstLine="640" w:firstLineChars="200"/>
              <w:rPr>
                <w:rFonts w:eastAsia="仿宋_GB2312"/>
                <w:spacing w:val="-6"/>
                <w:sz w:val="32"/>
                <w:szCs w:val="32"/>
              </w:rPr>
            </w:pPr>
            <w:r>
              <w:rPr>
                <w:rFonts w:eastAsia="仿宋_GB2312"/>
                <w:sz w:val="32"/>
                <w:szCs w:val="32"/>
              </w:rPr>
              <w:t>五、</w:t>
            </w:r>
            <w:r>
              <w:rPr>
                <w:rFonts w:eastAsia="仿宋_GB2312"/>
                <w:spacing w:val="-6"/>
                <w:sz w:val="32"/>
                <w:szCs w:val="32"/>
              </w:rPr>
              <w:t>一般公共预算财政拨款“三公”经费支出决算情况说明</w:t>
            </w:r>
          </w:p>
          <w:p>
            <w:pPr>
              <w:spacing w:line="584" w:lineRule="exact"/>
              <w:ind w:left="640" w:firstLine="640" w:firstLineChars="200"/>
              <w:rPr>
                <w:rFonts w:eastAsia="仿宋_GB2312"/>
                <w:sz w:val="32"/>
                <w:szCs w:val="32"/>
              </w:rPr>
            </w:pPr>
            <w:r>
              <w:rPr>
                <w:rFonts w:eastAsia="仿宋_GB2312"/>
                <w:sz w:val="32"/>
                <w:szCs w:val="32"/>
              </w:rPr>
              <w:t>六、预算绩效管理工作开展情况说明</w:t>
            </w:r>
          </w:p>
          <w:p>
            <w:pPr>
              <w:spacing w:line="584" w:lineRule="exact"/>
              <w:ind w:left="640" w:firstLine="640" w:firstLineChars="200"/>
              <w:rPr>
                <w:rFonts w:eastAsia="仿宋_GB2312"/>
                <w:sz w:val="32"/>
                <w:szCs w:val="32"/>
              </w:rPr>
            </w:pPr>
            <w:r>
              <w:rPr>
                <w:rFonts w:eastAsia="仿宋_GB2312"/>
                <w:sz w:val="32"/>
                <w:szCs w:val="32"/>
              </w:rPr>
              <w:t>七、其他重要事项的说明</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一</w:t>
            </w:r>
            <w:r>
              <w:rPr>
                <w:rFonts w:hint="eastAsia" w:eastAsia="仿宋_GB2312"/>
                <w:sz w:val="32"/>
                <w:szCs w:val="32"/>
              </w:rPr>
              <w:t>）</w:t>
            </w:r>
            <w:r>
              <w:rPr>
                <w:rFonts w:eastAsia="仿宋_GB2312"/>
                <w:sz w:val="32"/>
                <w:szCs w:val="32"/>
              </w:rPr>
              <w:t>机关运行经费情况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二</w:t>
            </w:r>
            <w:r>
              <w:rPr>
                <w:rFonts w:hint="eastAsia" w:eastAsia="仿宋_GB2312"/>
                <w:sz w:val="32"/>
                <w:szCs w:val="32"/>
              </w:rPr>
              <w:t>）</w:t>
            </w:r>
            <w:r>
              <w:rPr>
                <w:rFonts w:eastAsia="仿宋_GB2312"/>
                <w:sz w:val="32"/>
                <w:szCs w:val="32"/>
              </w:rPr>
              <w:t xml:space="preserve"> 政府采购情况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三</w:t>
            </w:r>
            <w:r>
              <w:rPr>
                <w:rFonts w:hint="eastAsia" w:eastAsia="仿宋_GB2312"/>
                <w:sz w:val="32"/>
                <w:szCs w:val="32"/>
              </w:rPr>
              <w:t>）</w:t>
            </w:r>
            <w:r>
              <w:rPr>
                <w:rFonts w:eastAsia="仿宋_GB2312"/>
                <w:sz w:val="32"/>
                <w:szCs w:val="32"/>
              </w:rPr>
              <w:t xml:space="preserve"> 国有资产占用情况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四</w:t>
            </w:r>
            <w:r>
              <w:rPr>
                <w:rFonts w:hint="eastAsia" w:eastAsia="仿宋_GB2312"/>
                <w:sz w:val="32"/>
                <w:szCs w:val="32"/>
              </w:rPr>
              <w:t>）</w:t>
            </w:r>
            <w:r>
              <w:rPr>
                <w:rFonts w:eastAsia="仿宋_GB2312"/>
                <w:sz w:val="32"/>
                <w:szCs w:val="32"/>
              </w:rPr>
              <w:t xml:space="preserve"> 其他需要说明的情况</w:t>
            </w:r>
          </w:p>
          <w:p>
            <w:pPr>
              <w:widowControl/>
              <w:spacing w:line="584" w:lineRule="exact"/>
              <w:ind w:firstLine="640"/>
              <w:jc w:val="left"/>
              <w:rPr>
                <w:rFonts w:hint="eastAsia" w:ascii="黑体" w:hAnsi="黑体" w:eastAsia="黑体" w:cs="宋体"/>
                <w:color w:val="484747"/>
                <w:sz w:val="32"/>
                <w:szCs w:val="32"/>
              </w:rPr>
            </w:pPr>
            <w:r>
              <w:rPr>
                <w:rFonts w:hint="eastAsia" w:ascii="黑体" w:hAnsi="黑体" w:eastAsia="黑体" w:cs="宋体"/>
                <w:color w:val="484747"/>
                <w:sz w:val="32"/>
                <w:szCs w:val="32"/>
              </w:rPr>
              <w:t>第四部分  名词解释</w:t>
            </w:r>
          </w:p>
          <w:p>
            <w:pPr>
              <w:spacing w:line="584" w:lineRule="exact"/>
              <w:rPr>
                <w:sz w:val="44"/>
                <w:szCs w:val="44"/>
              </w:rPr>
            </w:pPr>
          </w:p>
          <w:p>
            <w:pPr>
              <w:spacing w:line="584" w:lineRule="exact"/>
              <w:rPr>
                <w:sz w:val="44"/>
                <w:szCs w:val="44"/>
              </w:rPr>
            </w:pPr>
          </w:p>
          <w:p>
            <w:pPr>
              <w:widowControl/>
              <w:numPr>
                <w:ilvl w:val="0"/>
                <w:numId w:val="0"/>
              </w:numPr>
              <w:spacing w:line="584" w:lineRule="exact"/>
              <w:jc w:val="left"/>
              <w:rPr>
                <w:rFonts w:hint="eastAsia" w:ascii="黑体" w:hAnsi="黑体" w:eastAsia="黑体" w:cs="宋体"/>
                <w:color w:val="484747"/>
                <w:sz w:val="32"/>
                <w:szCs w:val="32"/>
              </w:rPr>
            </w:pPr>
          </w:p>
          <w:p>
            <w:pPr>
              <w:widowControl/>
              <w:numPr>
                <w:ilvl w:val="0"/>
                <w:numId w:val="0"/>
              </w:numPr>
              <w:spacing w:line="584" w:lineRule="exact"/>
              <w:jc w:val="left"/>
              <w:rPr>
                <w:rFonts w:hint="eastAsia" w:ascii="黑体" w:hAnsi="黑体" w:eastAsia="黑体" w:cs="宋体"/>
                <w:color w:val="484747"/>
                <w:sz w:val="32"/>
                <w:szCs w:val="32"/>
              </w:rPr>
            </w:pPr>
          </w:p>
          <w:p>
            <w:pPr>
              <w:widowControl/>
              <w:numPr>
                <w:ilvl w:val="0"/>
                <w:numId w:val="0"/>
              </w:numPr>
              <w:spacing w:line="584" w:lineRule="exact"/>
              <w:jc w:val="left"/>
              <w:rPr>
                <w:rFonts w:hint="eastAsia" w:ascii="黑体" w:hAnsi="黑体" w:eastAsia="黑体" w:cs="宋体"/>
                <w:color w:val="484747"/>
                <w:sz w:val="32"/>
                <w:szCs w:val="32"/>
              </w:rPr>
            </w:pPr>
          </w:p>
          <w:p>
            <w:pPr>
              <w:widowControl/>
              <w:numPr>
                <w:ilvl w:val="0"/>
                <w:numId w:val="0"/>
              </w:numPr>
              <w:spacing w:line="584" w:lineRule="exact"/>
              <w:jc w:val="left"/>
              <w:rPr>
                <w:rFonts w:hint="eastAsia" w:ascii="黑体" w:hAnsi="黑体" w:eastAsia="黑体" w:cs="宋体"/>
                <w:color w:val="484747"/>
                <w:sz w:val="32"/>
                <w:szCs w:val="32"/>
              </w:rPr>
            </w:pPr>
          </w:p>
          <w:p>
            <w:pPr>
              <w:widowControl/>
              <w:numPr>
                <w:ilvl w:val="0"/>
                <w:numId w:val="0"/>
              </w:numPr>
              <w:spacing w:line="584" w:lineRule="exact"/>
              <w:jc w:val="left"/>
              <w:rPr>
                <w:rFonts w:hint="eastAsia" w:ascii="黑体" w:hAnsi="黑体" w:eastAsia="黑体" w:cs="宋体"/>
                <w:color w:val="484747"/>
                <w:sz w:val="32"/>
                <w:szCs w:val="32"/>
              </w:rPr>
            </w:pPr>
          </w:p>
          <w:p>
            <w:pPr>
              <w:widowControl/>
              <w:spacing w:line="584" w:lineRule="exact"/>
              <w:ind w:firstLine="880" w:firstLineChars="200"/>
              <w:jc w:val="center"/>
              <w:rPr>
                <w:rFonts w:hint="eastAsia" w:ascii="方正小标宋简体" w:hAnsi="Calibri" w:eastAsia="方正小标宋简体" w:cs="Calibri"/>
                <w:color w:val="484747"/>
                <w:sz w:val="44"/>
                <w:szCs w:val="44"/>
              </w:rPr>
            </w:pPr>
          </w:p>
          <w:p>
            <w:pPr>
              <w:widowControl/>
              <w:spacing w:line="584" w:lineRule="exact"/>
              <w:ind w:firstLine="880" w:firstLineChars="200"/>
              <w:jc w:val="center"/>
              <w:rPr>
                <w:rFonts w:ascii="宋体" w:hAnsi="宋体" w:eastAsia="宋体" w:cs="宋体"/>
                <w:color w:val="484747"/>
                <w:kern w:val="0"/>
                <w:sz w:val="24"/>
                <w:szCs w:val="24"/>
              </w:rPr>
            </w:pPr>
            <w:r>
              <w:rPr>
                <w:rFonts w:hint="eastAsia" w:ascii="方正小标宋简体" w:hAnsi="Calibri" w:eastAsia="方正小标宋简体" w:cs="Calibri"/>
                <w:color w:val="484747"/>
                <w:sz w:val="44"/>
                <w:szCs w:val="44"/>
              </w:rPr>
              <w:t>大城县水务局2017年</w:t>
            </w:r>
            <w:r>
              <w:rPr>
                <w:rFonts w:hint="eastAsia" w:ascii="方正小标宋简体" w:hAnsi="Calibri" w:eastAsia="方正小标宋简体" w:cs="Calibri"/>
                <w:color w:val="484747"/>
                <w:sz w:val="44"/>
                <w:szCs w:val="44"/>
                <w:lang w:eastAsia="zh-CN"/>
              </w:rPr>
              <w:t>度</w:t>
            </w:r>
            <w:r>
              <w:rPr>
                <w:rFonts w:hint="eastAsia" w:ascii="方正小标宋简体" w:hAnsi="Calibri" w:eastAsia="方正小标宋简体" w:cs="Calibri"/>
                <w:color w:val="484747"/>
                <w:sz w:val="44"/>
                <w:szCs w:val="44"/>
              </w:rPr>
              <w:t>部门</w:t>
            </w:r>
            <w:r>
              <w:rPr>
                <w:rFonts w:hint="eastAsia" w:ascii="方正小标宋简体" w:hAnsi="Calibri" w:eastAsia="方正小标宋简体" w:cs="Calibri"/>
                <w:color w:val="484747"/>
                <w:sz w:val="44"/>
                <w:szCs w:val="44"/>
                <w:lang w:eastAsia="zh-CN"/>
              </w:rPr>
              <w:t>决算</w:t>
            </w:r>
            <w:r>
              <w:rPr>
                <w:rFonts w:hint="eastAsia" w:ascii="方正小标宋简体" w:hAnsi="Calibri" w:eastAsia="方正小标宋简体" w:cs="Calibri"/>
                <w:color w:val="484747"/>
                <w:sz w:val="44"/>
                <w:szCs w:val="44"/>
              </w:rPr>
              <w:t>信息公开</w:t>
            </w:r>
          </w:p>
          <w:p>
            <w:pPr>
              <w:widowControl/>
              <w:spacing w:line="584" w:lineRule="exact"/>
              <w:ind w:firstLine="640" w:firstLineChars="200"/>
              <w:jc w:val="left"/>
              <w:rPr>
                <w:rFonts w:ascii="宋体" w:hAnsi="宋体" w:eastAsia="宋体" w:cs="宋体"/>
                <w:color w:val="484747"/>
                <w:kern w:val="0"/>
                <w:sz w:val="24"/>
                <w:szCs w:val="24"/>
              </w:rPr>
            </w:pPr>
            <w:r>
              <w:rPr>
                <w:rFonts w:hint="eastAsia" w:ascii="仿宋_GB2312" w:hAnsi="Calibri" w:eastAsia="仿宋_GB2312" w:cs="宋体"/>
                <w:color w:val="484747"/>
                <w:sz w:val="32"/>
                <w:szCs w:val="32"/>
              </w:rPr>
              <w:t>按照《预算法》、《河北省财政厅关于印发</w:t>
            </w:r>
            <w:r>
              <w:rPr>
                <w:rFonts w:ascii="Calibri" w:hAnsi="Calibri" w:eastAsia="仿宋_GB2312" w:cs="宋体"/>
                <w:color w:val="484747"/>
                <w:sz w:val="32"/>
                <w:szCs w:val="32"/>
              </w:rPr>
              <w:t>&lt;</w:t>
            </w:r>
            <w:r>
              <w:rPr>
                <w:rFonts w:hint="eastAsia" w:ascii="仿宋_GB2312" w:hAnsi="Calibri" w:eastAsia="仿宋_GB2312" w:cs="宋体"/>
                <w:color w:val="484747"/>
                <w:sz w:val="32"/>
                <w:szCs w:val="32"/>
              </w:rPr>
              <w:t>河北省预决算公开操作规程实施细则</w:t>
            </w:r>
            <w:r>
              <w:rPr>
                <w:rFonts w:ascii="Calibri" w:hAnsi="Calibri" w:eastAsia="仿宋_GB2312" w:cs="宋体"/>
                <w:color w:val="484747"/>
                <w:sz w:val="32"/>
                <w:szCs w:val="32"/>
              </w:rPr>
              <w:t>&gt;</w:t>
            </w:r>
            <w:r>
              <w:rPr>
                <w:rFonts w:hint="eastAsia" w:ascii="仿宋_GB2312" w:hAnsi="Calibri" w:eastAsia="仿宋_GB2312" w:cs="宋体"/>
                <w:color w:val="484747"/>
                <w:sz w:val="32"/>
                <w:szCs w:val="32"/>
              </w:rPr>
              <w:t>的通知》（冀财预</w:t>
            </w:r>
            <w:r>
              <w:rPr>
                <w:rFonts w:hint="eastAsia" w:ascii="宋体" w:hAnsi="宋体" w:eastAsia="宋体" w:cs="宋体"/>
                <w:color w:val="484747"/>
                <w:sz w:val="32"/>
                <w:szCs w:val="32"/>
              </w:rPr>
              <w:t>﹝</w:t>
            </w:r>
            <w:r>
              <w:rPr>
                <w:rFonts w:ascii="Calibri" w:hAnsi="Calibri" w:eastAsia="仿宋_GB2312" w:cs="宋体"/>
                <w:color w:val="484747"/>
                <w:sz w:val="32"/>
                <w:szCs w:val="32"/>
              </w:rPr>
              <w:t>2016</w:t>
            </w:r>
            <w:r>
              <w:rPr>
                <w:rFonts w:hint="eastAsia" w:ascii="宋体" w:hAnsi="宋体" w:eastAsia="宋体" w:cs="宋体"/>
                <w:color w:val="484747"/>
                <w:sz w:val="32"/>
                <w:szCs w:val="32"/>
              </w:rPr>
              <w:t>﹞</w:t>
            </w:r>
            <w:r>
              <w:rPr>
                <w:rFonts w:ascii="Calibri" w:hAnsi="Calibri" w:eastAsia="仿宋_GB2312" w:cs="宋体"/>
                <w:color w:val="484747"/>
                <w:sz w:val="32"/>
                <w:szCs w:val="32"/>
              </w:rPr>
              <w:t>129</w:t>
            </w:r>
            <w:r>
              <w:rPr>
                <w:rFonts w:hint="eastAsia" w:ascii="仿宋_GB2312" w:hAnsi="Calibri" w:eastAsia="仿宋_GB2312" w:cs="宋体"/>
                <w:color w:val="484747"/>
                <w:sz w:val="32"/>
                <w:szCs w:val="32"/>
              </w:rPr>
              <w:t>号）等规定，现将</w:t>
            </w:r>
            <w:r>
              <w:rPr>
                <w:rFonts w:ascii="Calibri" w:hAnsi="Calibri" w:eastAsia="仿宋_GB2312" w:cs="宋体"/>
                <w:color w:val="484747"/>
                <w:sz w:val="32"/>
                <w:szCs w:val="32"/>
              </w:rPr>
              <w:t>201</w:t>
            </w:r>
            <w:r>
              <w:rPr>
                <w:rFonts w:hint="eastAsia" w:ascii="Calibri" w:hAnsi="Calibri" w:eastAsia="仿宋_GB2312" w:cs="宋体"/>
                <w:color w:val="484747"/>
                <w:sz w:val="32"/>
                <w:szCs w:val="32"/>
                <w:lang w:val="en-US" w:eastAsia="zh-CN"/>
              </w:rPr>
              <w:t>7</w:t>
            </w:r>
            <w:r>
              <w:rPr>
                <w:rFonts w:hint="eastAsia" w:ascii="仿宋_GB2312" w:hAnsi="Calibri" w:eastAsia="仿宋_GB2312" w:cs="宋体"/>
                <w:color w:val="484747"/>
                <w:sz w:val="32"/>
                <w:szCs w:val="32"/>
              </w:rPr>
              <w:t>年</w:t>
            </w:r>
            <w:r>
              <w:rPr>
                <w:rFonts w:hint="eastAsia" w:ascii="仿宋_GB2312" w:hAnsi="Calibri" w:eastAsia="仿宋_GB2312" w:cs="宋体"/>
                <w:color w:val="484747"/>
                <w:sz w:val="32"/>
                <w:szCs w:val="32"/>
                <w:lang w:eastAsia="zh-CN"/>
              </w:rPr>
              <w:t>度</w:t>
            </w:r>
            <w:r>
              <w:rPr>
                <w:rFonts w:hint="eastAsia" w:ascii="仿宋_GB2312" w:hAnsi="Calibri" w:eastAsia="仿宋_GB2312" w:cs="宋体"/>
                <w:color w:val="484747"/>
                <w:sz w:val="32"/>
                <w:szCs w:val="32"/>
              </w:rPr>
              <w:t>部门决算公开如下：</w:t>
            </w:r>
          </w:p>
          <w:p>
            <w:pPr>
              <w:widowControl/>
              <w:numPr>
                <w:ilvl w:val="0"/>
                <w:numId w:val="0"/>
              </w:numPr>
              <w:spacing w:line="420" w:lineRule="atLeast"/>
              <w:ind w:firstLine="640" w:firstLineChars="200"/>
              <w:jc w:val="left"/>
              <w:rPr>
                <w:rFonts w:hint="eastAsia" w:ascii="黑体" w:hAnsi="黑体" w:eastAsia="黑体" w:cs="宋体"/>
                <w:color w:val="484747"/>
                <w:sz w:val="32"/>
                <w:szCs w:val="32"/>
                <w:lang w:val="en-US" w:eastAsia="zh-CN"/>
              </w:rPr>
            </w:pPr>
            <w:r>
              <w:rPr>
                <w:rFonts w:hint="eastAsia" w:ascii="黑体" w:hAnsi="黑体" w:eastAsia="黑体" w:cs="宋体"/>
                <w:color w:val="484747"/>
                <w:sz w:val="32"/>
                <w:szCs w:val="32"/>
                <w:lang w:val="en-US" w:eastAsia="zh-CN"/>
              </w:rPr>
              <w:t>第一部分  大城县水务局部门概况</w:t>
            </w:r>
          </w:p>
          <w:p>
            <w:pPr>
              <w:widowControl/>
              <w:spacing w:line="420" w:lineRule="atLeast"/>
              <w:ind w:firstLine="640" w:firstLineChars="200"/>
              <w:jc w:val="left"/>
              <w:rPr>
                <w:rFonts w:hint="eastAsia" w:ascii="仿宋_GB2312" w:hAnsi="Calibri" w:eastAsia="仿宋_GB2312" w:cs="宋体"/>
                <w:color w:val="484747"/>
                <w:sz w:val="32"/>
                <w:szCs w:val="32"/>
              </w:rPr>
            </w:pPr>
            <w:r>
              <w:rPr>
                <w:rFonts w:hint="eastAsia" w:ascii="仿宋_GB2312" w:hAnsi="Calibri" w:eastAsia="仿宋_GB2312" w:cs="宋体"/>
                <w:color w:val="484747"/>
                <w:sz w:val="32"/>
                <w:szCs w:val="32"/>
              </w:rPr>
              <w:t>一</w:t>
            </w:r>
            <w:r>
              <w:rPr>
                <w:rFonts w:hint="eastAsia" w:ascii="仿宋_GB2312" w:hAnsi="Calibri" w:eastAsia="仿宋_GB2312" w:cs="宋体"/>
                <w:color w:val="484747"/>
                <w:sz w:val="32"/>
                <w:szCs w:val="32"/>
                <w:lang w:eastAsia="zh-CN"/>
              </w:rPr>
              <w:t>、</w:t>
            </w:r>
            <w:r>
              <w:rPr>
                <w:rFonts w:hint="eastAsia" w:ascii="仿宋_GB2312" w:hAnsi="Calibri" w:eastAsia="仿宋_GB2312" w:cs="宋体"/>
                <w:color w:val="484747"/>
                <w:sz w:val="32"/>
                <w:szCs w:val="32"/>
              </w:rPr>
              <w:t>部门职责</w:t>
            </w:r>
          </w:p>
          <w:p>
            <w:pPr>
              <w:widowControl/>
              <w:spacing w:line="420" w:lineRule="atLeast"/>
              <w:ind w:firstLine="640" w:firstLineChars="200"/>
              <w:jc w:val="left"/>
              <w:rPr>
                <w:rFonts w:ascii="宋体" w:hAnsi="宋体" w:eastAsia="宋体" w:cs="宋体"/>
                <w:color w:val="484747"/>
                <w:kern w:val="0"/>
                <w:sz w:val="24"/>
                <w:szCs w:val="24"/>
              </w:rPr>
            </w:pPr>
            <w:r>
              <w:rPr>
                <w:rFonts w:hint="eastAsia" w:ascii="仿宋_GB2312" w:hAnsi="宋体" w:eastAsia="仿宋_GB2312" w:cs="宋体"/>
                <w:color w:val="484747"/>
                <w:kern w:val="0"/>
                <w:sz w:val="32"/>
                <w:szCs w:val="32"/>
              </w:rPr>
              <w:t>1、贯彻落实有关水利工作的法律、法规及方针政策，负责保障水资源的合理开发利用，拟定全县水利战略规划和政策，组织编制综合规划、防洪规划等水利规划和年度计划，组织并监督实施有关法规、规章和制度。负责提出水利固定资产投资规模和方向、县级财政性资金安排的意见，按规定权限审批、核准规划内和年度计划规模内固定资产投资项目；提出县级水利建设投资安排建议并组织实施。</w:t>
            </w:r>
          </w:p>
          <w:p>
            <w:pPr>
              <w:widowControl/>
              <w:spacing w:line="420" w:lineRule="atLeast"/>
              <w:ind w:firstLine="640" w:firstLineChars="200"/>
              <w:jc w:val="left"/>
              <w:rPr>
                <w:rFonts w:ascii="宋体" w:hAnsi="宋体" w:eastAsia="宋体" w:cs="宋体"/>
                <w:color w:val="484747"/>
                <w:kern w:val="0"/>
                <w:sz w:val="24"/>
                <w:szCs w:val="24"/>
              </w:rPr>
            </w:pPr>
            <w:r>
              <w:rPr>
                <w:rFonts w:hint="eastAsia" w:ascii="仿宋_GB2312" w:hAnsi="宋体" w:eastAsia="仿宋_GB2312" w:cs="宋体"/>
                <w:color w:val="484747"/>
                <w:kern w:val="0"/>
                <w:sz w:val="32"/>
                <w:szCs w:val="32"/>
              </w:rPr>
              <w:t>2、负责生活、生产经营和生态环境用水的统筹兼顾和保障。负责全县水资源（含空中水、地表水、地下水）的统一管理，拟定全县水中长期供求规划、水分量分配方案并监督实施，组织开展水资源调查评价工作，组织实施取水许可、水资源费征收和水资源论证、防洪论证制度。指导水利行业供水和乡镇供水工作。</w:t>
            </w:r>
          </w:p>
          <w:p>
            <w:pPr>
              <w:widowControl/>
              <w:spacing w:line="420" w:lineRule="atLeast"/>
              <w:ind w:firstLine="640" w:firstLineChars="200"/>
              <w:jc w:val="left"/>
              <w:rPr>
                <w:rFonts w:ascii="宋体" w:hAnsi="宋体" w:eastAsia="宋体" w:cs="宋体"/>
                <w:color w:val="484747"/>
                <w:kern w:val="0"/>
                <w:sz w:val="24"/>
                <w:szCs w:val="24"/>
              </w:rPr>
            </w:pPr>
            <w:r>
              <w:rPr>
                <w:rFonts w:hint="eastAsia" w:ascii="仿宋_GB2312" w:hAnsi="宋体" w:eastAsia="仿宋_GB2312" w:cs="宋体"/>
                <w:color w:val="484747"/>
                <w:kern w:val="0"/>
                <w:sz w:val="32"/>
                <w:szCs w:val="32"/>
              </w:rPr>
              <w:t>3、负责水资源保护工作。组织编制水资源保护规划，组织水功能区划分并监督实施，审定水域纳污能力，提出限制排污总量建议，指导饮用水水源保护工作，指导地下水开发利用和城市规划区地下水资源管理保护工作。</w:t>
            </w:r>
          </w:p>
          <w:p>
            <w:pPr>
              <w:widowControl/>
              <w:spacing w:line="420" w:lineRule="atLeast"/>
              <w:ind w:firstLine="640" w:firstLineChars="200"/>
              <w:jc w:val="left"/>
              <w:rPr>
                <w:rFonts w:ascii="宋体" w:hAnsi="宋体" w:eastAsia="宋体" w:cs="宋体"/>
                <w:color w:val="484747"/>
                <w:kern w:val="0"/>
                <w:sz w:val="24"/>
                <w:szCs w:val="24"/>
              </w:rPr>
            </w:pPr>
            <w:r>
              <w:rPr>
                <w:rFonts w:hint="eastAsia" w:ascii="仿宋_GB2312" w:hAnsi="宋体" w:eastAsia="仿宋_GB2312" w:cs="宋体"/>
                <w:color w:val="484747"/>
                <w:kern w:val="0"/>
                <w:sz w:val="32"/>
                <w:szCs w:val="32"/>
              </w:rPr>
              <w:t>4、负责防治水旱灾害，承担大城县防汛抗旱指挥部的日常工作。组织、协调、监督、指挥全县防汛抗旱工作，对主要行洪排沥河道和重要水利工程实施防汛抗旱调度和应急水量调度，编制全县防汛抗旱应急预案并组织实施。指导水利突发公共事件的应急管理工作。</w:t>
            </w:r>
          </w:p>
          <w:p>
            <w:pPr>
              <w:widowControl/>
              <w:spacing w:line="420" w:lineRule="atLeast"/>
              <w:ind w:firstLine="640" w:firstLineChars="200"/>
              <w:jc w:val="left"/>
              <w:rPr>
                <w:rFonts w:ascii="宋体" w:hAnsi="宋体" w:eastAsia="宋体" w:cs="宋体"/>
                <w:color w:val="484747"/>
                <w:kern w:val="0"/>
                <w:sz w:val="24"/>
                <w:szCs w:val="24"/>
              </w:rPr>
            </w:pPr>
            <w:r>
              <w:rPr>
                <w:rFonts w:hint="eastAsia" w:ascii="仿宋_GB2312" w:hAnsi="宋体" w:eastAsia="仿宋_GB2312" w:cs="宋体"/>
                <w:color w:val="484747"/>
                <w:kern w:val="0"/>
                <w:sz w:val="32"/>
                <w:szCs w:val="32"/>
              </w:rPr>
              <w:t>5、负责节约用水工作。拟定全县节约用水政策，编制节约用水规划，制定有关标准，指导和推动节水型社会建设工作。</w:t>
            </w:r>
          </w:p>
          <w:p>
            <w:pPr>
              <w:widowControl/>
              <w:spacing w:line="420" w:lineRule="atLeast"/>
              <w:ind w:firstLine="640" w:firstLineChars="200"/>
              <w:jc w:val="left"/>
              <w:rPr>
                <w:rFonts w:ascii="宋体" w:hAnsi="宋体" w:eastAsia="宋体" w:cs="宋体"/>
                <w:color w:val="484747"/>
                <w:kern w:val="0"/>
                <w:sz w:val="24"/>
                <w:szCs w:val="24"/>
              </w:rPr>
            </w:pPr>
            <w:r>
              <w:rPr>
                <w:rFonts w:hint="eastAsia" w:ascii="仿宋_GB2312" w:hAnsi="宋体" w:eastAsia="仿宋_GB2312" w:cs="宋体"/>
                <w:color w:val="484747"/>
                <w:kern w:val="0"/>
                <w:sz w:val="32"/>
                <w:szCs w:val="32"/>
              </w:rPr>
              <w:t>6、负责指导全县江河湖库和地下水的水量、水质实施监测</w:t>
            </w:r>
            <w:r>
              <w:rPr>
                <w:rFonts w:hint="eastAsia" w:ascii="仿宋_GB2312" w:hAnsi="宋体" w:eastAsia="仿宋_GB2312" w:cs="宋体"/>
                <w:color w:val="484747"/>
                <w:kern w:val="0"/>
                <w:sz w:val="32"/>
                <w:szCs w:val="32"/>
                <w:lang w:eastAsia="zh-CN"/>
              </w:rPr>
              <w:t>工作</w:t>
            </w:r>
            <w:r>
              <w:rPr>
                <w:rFonts w:hint="eastAsia" w:ascii="仿宋_GB2312" w:hAnsi="宋体" w:eastAsia="仿宋_GB2312" w:cs="宋体"/>
                <w:color w:val="484747"/>
                <w:kern w:val="0"/>
                <w:sz w:val="32"/>
                <w:szCs w:val="32"/>
              </w:rPr>
              <w:t>，发布水文水资源信息和情报预报；负责发布全县水资源公报。</w:t>
            </w:r>
          </w:p>
          <w:p>
            <w:pPr>
              <w:widowControl/>
              <w:spacing w:line="420" w:lineRule="atLeast"/>
              <w:ind w:firstLine="640" w:firstLineChars="200"/>
              <w:jc w:val="left"/>
              <w:rPr>
                <w:rFonts w:ascii="宋体" w:hAnsi="宋体" w:eastAsia="宋体" w:cs="宋体"/>
                <w:color w:val="484747"/>
                <w:kern w:val="0"/>
                <w:sz w:val="24"/>
                <w:szCs w:val="24"/>
              </w:rPr>
            </w:pPr>
            <w:r>
              <w:rPr>
                <w:rFonts w:hint="eastAsia" w:ascii="仿宋_GB2312" w:hAnsi="宋体" w:eastAsia="仿宋_GB2312" w:cs="宋体"/>
                <w:color w:val="484747"/>
                <w:kern w:val="0"/>
                <w:sz w:val="32"/>
                <w:szCs w:val="32"/>
              </w:rPr>
              <w:t>7、组织、指导全县水利设施、水域及其岸线的管理与保护，组织、指导主要河道、滩涂的治理和开发，组织实施河道管理范围内工程建设方案审查制度，指导水利工程建设与运行管理，组织实施具有控制性的重要水利工程建设与管理，承担水库移民管理工作。</w:t>
            </w:r>
          </w:p>
          <w:p>
            <w:pPr>
              <w:widowControl/>
              <w:spacing w:line="420" w:lineRule="atLeast"/>
              <w:ind w:firstLine="640" w:firstLineChars="200"/>
              <w:jc w:val="left"/>
              <w:rPr>
                <w:rFonts w:ascii="宋体" w:hAnsi="宋体" w:eastAsia="宋体" w:cs="宋体"/>
                <w:color w:val="484747"/>
                <w:kern w:val="0"/>
                <w:sz w:val="24"/>
                <w:szCs w:val="24"/>
              </w:rPr>
            </w:pPr>
            <w:r>
              <w:rPr>
                <w:rFonts w:hint="eastAsia" w:ascii="仿宋_GB2312" w:hAnsi="宋体" w:eastAsia="仿宋_GB2312" w:cs="宋体"/>
                <w:color w:val="484747"/>
                <w:kern w:val="0"/>
                <w:sz w:val="32"/>
                <w:szCs w:val="32"/>
              </w:rPr>
              <w:t>8、负责防治水土流失。拟定水土保持规划并监督实施，组织实施水土流失的监测和综合防治，负责有关建设项目水土保持方案的审核或审批、监督实施及水土保持设施的验收工作。</w:t>
            </w:r>
          </w:p>
          <w:p>
            <w:pPr>
              <w:widowControl/>
              <w:spacing w:line="420" w:lineRule="atLeast"/>
              <w:ind w:firstLine="640" w:firstLineChars="200"/>
              <w:jc w:val="left"/>
              <w:rPr>
                <w:rFonts w:ascii="宋体" w:hAnsi="宋体" w:eastAsia="宋体" w:cs="宋体"/>
                <w:color w:val="484747"/>
                <w:kern w:val="0"/>
                <w:sz w:val="24"/>
                <w:szCs w:val="24"/>
              </w:rPr>
            </w:pPr>
            <w:r>
              <w:rPr>
                <w:rFonts w:hint="eastAsia" w:ascii="仿宋_GB2312" w:hAnsi="宋体" w:eastAsia="仿宋_GB2312" w:cs="宋体"/>
                <w:color w:val="484747"/>
                <w:kern w:val="0"/>
                <w:sz w:val="32"/>
                <w:szCs w:val="32"/>
              </w:rPr>
              <w:t>9、指导全县农村水利工作。组织协调农田水利基本建设，指导农村饮水安全、节水灌溉等工程建设与管理工作，指导农村水利社会化服务体系建设。</w:t>
            </w:r>
          </w:p>
          <w:p>
            <w:pPr>
              <w:widowControl/>
              <w:spacing w:line="420" w:lineRule="atLeast"/>
              <w:ind w:firstLine="640" w:firstLineChars="200"/>
              <w:jc w:val="left"/>
              <w:rPr>
                <w:rFonts w:ascii="宋体" w:hAnsi="宋体" w:eastAsia="宋体" w:cs="宋体"/>
                <w:color w:val="484747"/>
                <w:kern w:val="0"/>
                <w:sz w:val="24"/>
                <w:szCs w:val="24"/>
              </w:rPr>
            </w:pPr>
            <w:r>
              <w:rPr>
                <w:rFonts w:hint="eastAsia" w:ascii="仿宋_GB2312" w:hAnsi="宋体" w:eastAsia="仿宋_GB2312" w:cs="宋体"/>
                <w:color w:val="484747"/>
                <w:kern w:val="0"/>
                <w:sz w:val="32"/>
                <w:szCs w:val="32"/>
              </w:rPr>
              <w:t>10、负责涉水违法事件的查处，协调水事纠纷，指导水政监察和水行政执法，依法负责水利行业安全生产工作，组织、指导河道堤防、水库大坝的安全监管，指导水利建设市场的监督管理，组织实施水利工程建设的监督。</w:t>
            </w:r>
          </w:p>
          <w:p>
            <w:pPr>
              <w:widowControl/>
              <w:spacing w:line="420" w:lineRule="atLeast"/>
              <w:ind w:firstLine="640" w:firstLineChars="200"/>
              <w:jc w:val="left"/>
              <w:rPr>
                <w:rFonts w:ascii="宋体" w:hAnsi="宋体" w:eastAsia="宋体" w:cs="宋体"/>
                <w:color w:val="484747"/>
                <w:kern w:val="0"/>
                <w:sz w:val="24"/>
                <w:szCs w:val="24"/>
              </w:rPr>
            </w:pPr>
            <w:r>
              <w:rPr>
                <w:rFonts w:hint="eastAsia" w:ascii="仿宋_GB2312" w:hAnsi="宋体" w:eastAsia="仿宋_GB2312" w:cs="宋体"/>
                <w:color w:val="484747"/>
                <w:kern w:val="0"/>
                <w:sz w:val="32"/>
                <w:szCs w:val="32"/>
              </w:rPr>
              <w:t>11、开展水利科技和外事工作。组织开展水利行业质量监督工作，办理有关水利涉外事务。</w:t>
            </w:r>
          </w:p>
          <w:p>
            <w:pPr>
              <w:widowControl/>
              <w:spacing w:line="420" w:lineRule="atLeast"/>
              <w:ind w:firstLine="640" w:firstLineChars="200"/>
              <w:jc w:val="left"/>
              <w:rPr>
                <w:rFonts w:ascii="宋体" w:hAnsi="宋体" w:eastAsia="宋体" w:cs="宋体"/>
                <w:color w:val="484747"/>
                <w:kern w:val="0"/>
                <w:sz w:val="24"/>
                <w:szCs w:val="24"/>
              </w:rPr>
            </w:pPr>
            <w:r>
              <w:rPr>
                <w:rFonts w:hint="eastAsia" w:ascii="仿宋_GB2312" w:hAnsi="宋体" w:eastAsia="仿宋_GB2312" w:cs="宋体"/>
                <w:color w:val="484747"/>
                <w:kern w:val="0"/>
                <w:sz w:val="32"/>
                <w:szCs w:val="32"/>
              </w:rPr>
              <w:t>12、承办县政府交办的其他事项。</w:t>
            </w:r>
          </w:p>
          <w:p>
            <w:pPr>
              <w:widowControl/>
              <w:spacing w:line="420" w:lineRule="atLeast"/>
              <w:ind w:firstLine="560" w:firstLineChars="200"/>
              <w:jc w:val="left"/>
              <w:outlineLvl w:val="0"/>
              <w:rPr>
                <w:rFonts w:ascii="宋体" w:hAnsi="宋体" w:eastAsia="宋体" w:cs="宋体"/>
                <w:color w:val="484747"/>
                <w:kern w:val="0"/>
                <w:sz w:val="24"/>
                <w:szCs w:val="24"/>
              </w:rPr>
            </w:pPr>
            <w:r>
              <w:rPr>
                <w:rFonts w:hint="eastAsia" w:ascii="黑体" w:hAnsi="黑体" w:eastAsia="黑体" w:cs="宋体"/>
                <w:color w:val="484747"/>
                <w:sz w:val="28"/>
                <w:szCs w:val="28"/>
                <w:lang w:eastAsia="zh-CN"/>
              </w:rPr>
              <w:t>二、</w:t>
            </w:r>
            <w:r>
              <w:rPr>
                <w:rFonts w:hint="eastAsia" w:ascii="黑体" w:hAnsi="黑体" w:eastAsia="黑体" w:cs="宋体"/>
                <w:color w:val="484747"/>
                <w:sz w:val="28"/>
                <w:szCs w:val="28"/>
              </w:rPr>
              <w:t>机构设置：</w:t>
            </w:r>
            <w:r>
              <w:rPr>
                <w:rFonts w:hint="eastAsia" w:ascii="仿宋_GB2312" w:hAnsi="Calibri" w:eastAsia="仿宋_GB2312" w:cs="宋体"/>
                <w:color w:val="484747"/>
                <w:sz w:val="32"/>
                <w:szCs w:val="32"/>
              </w:rPr>
              <w:t xml:space="preserve"> </w:t>
            </w:r>
          </w:p>
          <w:p>
            <w:pPr>
              <w:widowControl/>
              <w:spacing w:line="420" w:lineRule="atLeast"/>
              <w:jc w:val="center"/>
              <w:outlineLvl w:val="0"/>
              <w:rPr>
                <w:rFonts w:ascii="宋体" w:hAnsi="宋体" w:eastAsia="宋体" w:cs="宋体"/>
                <w:color w:val="484747"/>
                <w:kern w:val="0"/>
                <w:sz w:val="24"/>
                <w:szCs w:val="24"/>
              </w:rPr>
            </w:pPr>
            <w:r>
              <w:rPr>
                <w:rFonts w:hint="eastAsia" w:ascii="方正小标宋_GBK" w:hAnsi="Times New Roman" w:eastAsia="方正小标宋_GBK" w:cs="宋体"/>
                <w:color w:val="484747"/>
                <w:sz w:val="32"/>
                <w:szCs w:val="32"/>
              </w:rPr>
              <w:t>部门</w:t>
            </w:r>
            <w:r>
              <w:rPr>
                <w:rFonts w:hint="eastAsia" w:ascii="Times New Roman" w:hAnsi="Times New Roman" w:eastAsia="方正小标宋_GBK" w:cs="宋体"/>
                <w:color w:val="484747"/>
                <w:sz w:val="32"/>
                <w:szCs w:val="32"/>
              </w:rPr>
              <w:t>机构设置情况</w:t>
            </w:r>
          </w:p>
          <w:tbl>
            <w:tblPr>
              <w:tblStyle w:val="6"/>
              <w:tblW w:w="9755" w:type="dxa"/>
              <w:jc w:val="center"/>
              <w:tblInd w:w="0" w:type="dxa"/>
              <w:tblLayout w:type="fixed"/>
              <w:tblCellMar>
                <w:top w:w="0" w:type="dxa"/>
                <w:left w:w="108" w:type="dxa"/>
                <w:bottom w:w="0" w:type="dxa"/>
                <w:right w:w="108" w:type="dxa"/>
              </w:tblCellMar>
            </w:tblPr>
            <w:tblGrid>
              <w:gridCol w:w="4443"/>
              <w:gridCol w:w="1134"/>
              <w:gridCol w:w="1276"/>
              <w:gridCol w:w="2902"/>
            </w:tblGrid>
            <w:tr>
              <w:tblPrEx>
                <w:tblLayout w:type="fixed"/>
                <w:tblCellMar>
                  <w:top w:w="0" w:type="dxa"/>
                  <w:left w:w="108" w:type="dxa"/>
                  <w:bottom w:w="0" w:type="dxa"/>
                  <w:right w:w="108" w:type="dxa"/>
                </w:tblCellMar>
              </w:tblPrEx>
              <w:trPr>
                <w:trHeight w:val="300" w:hRule="atLeast"/>
                <w:jc w:val="center"/>
              </w:trPr>
              <w:tc>
                <w:tcPr>
                  <w:tcW w:w="444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line="300" w:lineRule="exact"/>
                    <w:jc w:val="center"/>
                    <w:rPr>
                      <w:rFonts w:ascii="宋体" w:hAnsi="宋体" w:eastAsia="宋体" w:cs="宋体"/>
                      <w:kern w:val="0"/>
                      <w:sz w:val="24"/>
                      <w:szCs w:val="24"/>
                    </w:rPr>
                  </w:pPr>
                  <w:r>
                    <w:rPr>
                      <w:rFonts w:ascii="Times New Roman" w:hAnsi="Times New Roman" w:eastAsia="方正书宋_GBK" w:cs="Times New Roman"/>
                      <w:b/>
                      <w:bCs/>
                      <w:szCs w:val="21"/>
                    </w:rPr>
                    <w:t>单位名称</w:t>
                  </w:r>
                </w:p>
              </w:tc>
              <w:tc>
                <w:tcPr>
                  <w:tcW w:w="1134" w:type="dxa"/>
                  <w:vMerge w:val="restart"/>
                  <w:tcBorders>
                    <w:top w:val="single" w:color="000000" w:sz="6" w:space="0"/>
                    <w:left w:val="nil"/>
                    <w:bottom w:val="single" w:color="000000" w:sz="6" w:space="0"/>
                    <w:right w:val="single" w:color="000000" w:sz="6" w:space="0"/>
                  </w:tcBorders>
                  <w:shd w:val="clear" w:color="auto" w:fill="auto"/>
                  <w:vAlign w:val="center"/>
                </w:tcPr>
                <w:p>
                  <w:pPr>
                    <w:widowControl/>
                    <w:spacing w:line="300" w:lineRule="exact"/>
                    <w:jc w:val="center"/>
                    <w:rPr>
                      <w:rFonts w:ascii="宋体" w:hAnsi="宋体" w:eastAsia="宋体" w:cs="宋体"/>
                      <w:kern w:val="0"/>
                      <w:sz w:val="24"/>
                      <w:szCs w:val="24"/>
                    </w:rPr>
                  </w:pPr>
                  <w:r>
                    <w:rPr>
                      <w:rFonts w:ascii="Times New Roman" w:hAnsi="Times New Roman" w:eastAsia="方正书宋_GBK" w:cs="Times New Roman"/>
                      <w:b/>
                      <w:bCs/>
                      <w:szCs w:val="21"/>
                    </w:rPr>
                    <w:t>单位性质</w:t>
                  </w:r>
                </w:p>
              </w:tc>
              <w:tc>
                <w:tcPr>
                  <w:tcW w:w="1276" w:type="dxa"/>
                  <w:vMerge w:val="restart"/>
                  <w:tcBorders>
                    <w:top w:val="single" w:color="000000" w:sz="6" w:space="0"/>
                    <w:left w:val="nil"/>
                    <w:bottom w:val="single" w:color="000000" w:sz="6" w:space="0"/>
                    <w:right w:val="single" w:color="000000" w:sz="6" w:space="0"/>
                  </w:tcBorders>
                  <w:shd w:val="clear" w:color="auto" w:fill="auto"/>
                  <w:vAlign w:val="center"/>
                </w:tcPr>
                <w:p>
                  <w:pPr>
                    <w:widowControl/>
                    <w:spacing w:line="300" w:lineRule="exact"/>
                    <w:jc w:val="center"/>
                    <w:rPr>
                      <w:rFonts w:ascii="宋体" w:hAnsi="宋体" w:eastAsia="宋体" w:cs="宋体"/>
                      <w:kern w:val="0"/>
                      <w:sz w:val="24"/>
                      <w:szCs w:val="24"/>
                    </w:rPr>
                  </w:pPr>
                  <w:r>
                    <w:rPr>
                      <w:rFonts w:ascii="Times New Roman" w:hAnsi="Times New Roman" w:eastAsia="方正书宋_GBK" w:cs="Times New Roman"/>
                      <w:b/>
                      <w:bCs/>
                      <w:szCs w:val="21"/>
                    </w:rPr>
                    <w:t>单位规格</w:t>
                  </w:r>
                </w:p>
              </w:tc>
              <w:tc>
                <w:tcPr>
                  <w:tcW w:w="2902" w:type="dxa"/>
                  <w:vMerge w:val="restart"/>
                  <w:tcBorders>
                    <w:top w:val="single" w:color="000000" w:sz="6" w:space="0"/>
                    <w:left w:val="nil"/>
                    <w:bottom w:val="single" w:color="000000" w:sz="6" w:space="0"/>
                    <w:right w:val="single" w:color="000000" w:sz="6" w:space="0"/>
                  </w:tcBorders>
                  <w:shd w:val="clear" w:color="auto" w:fill="auto"/>
                  <w:vAlign w:val="center"/>
                </w:tcPr>
                <w:p>
                  <w:pPr>
                    <w:widowControl/>
                    <w:spacing w:line="300" w:lineRule="exact"/>
                    <w:jc w:val="center"/>
                    <w:rPr>
                      <w:rFonts w:ascii="宋体" w:hAnsi="宋体" w:eastAsia="宋体" w:cs="宋体"/>
                      <w:kern w:val="0"/>
                      <w:sz w:val="24"/>
                      <w:szCs w:val="24"/>
                    </w:rPr>
                  </w:pPr>
                  <w:r>
                    <w:rPr>
                      <w:rFonts w:ascii="Times New Roman" w:hAnsi="Times New Roman" w:eastAsia="方正书宋_GBK" w:cs="Times New Roman"/>
                      <w:b/>
                      <w:bCs/>
                      <w:szCs w:val="21"/>
                    </w:rPr>
                    <w:t>经费保障形式</w:t>
                  </w:r>
                </w:p>
              </w:tc>
            </w:tr>
            <w:tr>
              <w:tblPrEx>
                <w:tblLayout w:type="fixed"/>
                <w:tblCellMar>
                  <w:top w:w="0" w:type="dxa"/>
                  <w:left w:w="108" w:type="dxa"/>
                  <w:bottom w:w="0" w:type="dxa"/>
                  <w:right w:w="108" w:type="dxa"/>
                </w:tblCellMar>
              </w:tblPrEx>
              <w:trPr>
                <w:trHeight w:val="312" w:hRule="atLeast"/>
                <w:jc w:val="center"/>
              </w:trPr>
              <w:tc>
                <w:tcPr>
                  <w:tcW w:w="444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134" w:type="dxa"/>
                  <w:vMerge w:val="continue"/>
                  <w:tcBorders>
                    <w:top w:val="single" w:color="000000" w:sz="6" w:space="0"/>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276" w:type="dxa"/>
                  <w:vMerge w:val="continue"/>
                  <w:tcBorders>
                    <w:top w:val="single" w:color="000000" w:sz="6" w:space="0"/>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902" w:type="dxa"/>
                  <w:vMerge w:val="continue"/>
                  <w:tcBorders>
                    <w:top w:val="single" w:color="000000" w:sz="6" w:space="0"/>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27" w:hRule="atLeast"/>
                <w:jc w:val="center"/>
              </w:trPr>
              <w:tc>
                <w:tcPr>
                  <w:tcW w:w="444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line="227" w:lineRule="atLeast"/>
                    <w:jc w:val="left"/>
                    <w:rPr>
                      <w:rFonts w:ascii="宋体" w:hAnsi="宋体" w:eastAsia="宋体" w:cs="宋体"/>
                      <w:kern w:val="0"/>
                      <w:sz w:val="24"/>
                      <w:szCs w:val="24"/>
                    </w:rPr>
                  </w:pPr>
                  <w:r>
                    <w:rPr>
                      <w:rFonts w:hint="eastAsia" w:ascii="Times New Roman" w:hAnsi="Times New Roman" w:eastAsia="方正书宋_GBK" w:cs="宋体"/>
                      <w:szCs w:val="21"/>
                    </w:rPr>
                    <w:t>大城县水务局</w:t>
                  </w:r>
                </w:p>
              </w:tc>
              <w:tc>
                <w:tcPr>
                  <w:tcW w:w="1134" w:type="dxa"/>
                  <w:tcBorders>
                    <w:top w:val="single" w:color="000000" w:sz="6" w:space="0"/>
                    <w:left w:val="nil"/>
                    <w:bottom w:val="single" w:color="000000" w:sz="6" w:space="0"/>
                    <w:right w:val="single" w:color="000000" w:sz="6" w:space="0"/>
                  </w:tcBorders>
                  <w:shd w:val="clear" w:color="auto" w:fill="auto"/>
                  <w:vAlign w:val="center"/>
                </w:tcPr>
                <w:p>
                  <w:pPr>
                    <w:widowControl/>
                    <w:spacing w:line="227" w:lineRule="atLeast"/>
                    <w:jc w:val="left"/>
                    <w:rPr>
                      <w:rFonts w:hint="eastAsia" w:ascii="宋体" w:hAnsi="宋体" w:eastAsia="宋体" w:cs="宋体"/>
                      <w:kern w:val="0"/>
                      <w:sz w:val="24"/>
                      <w:szCs w:val="24"/>
                      <w:lang w:eastAsia="zh-CN"/>
                    </w:rPr>
                  </w:pPr>
                  <w:r>
                    <w:rPr>
                      <w:rFonts w:hint="eastAsia" w:ascii="Times New Roman" w:hAnsi="Times New Roman" w:eastAsia="方正书宋_GBK" w:cs="宋体"/>
                      <w:szCs w:val="21"/>
                      <w:lang w:eastAsia="zh-CN"/>
                    </w:rPr>
                    <w:t>行政</w:t>
                  </w:r>
                </w:p>
              </w:tc>
              <w:tc>
                <w:tcPr>
                  <w:tcW w:w="1276" w:type="dxa"/>
                  <w:tcBorders>
                    <w:top w:val="single" w:color="000000" w:sz="6" w:space="0"/>
                    <w:left w:val="nil"/>
                    <w:bottom w:val="single" w:color="000000" w:sz="6" w:space="0"/>
                    <w:right w:val="single" w:color="000000" w:sz="6" w:space="0"/>
                  </w:tcBorders>
                  <w:shd w:val="clear" w:color="auto" w:fill="auto"/>
                  <w:vAlign w:val="center"/>
                </w:tcPr>
                <w:p>
                  <w:pPr>
                    <w:widowControl/>
                    <w:spacing w:line="227" w:lineRule="atLeast"/>
                    <w:jc w:val="left"/>
                    <w:rPr>
                      <w:rFonts w:ascii="宋体" w:hAnsi="宋体" w:eastAsia="宋体" w:cs="宋体"/>
                      <w:kern w:val="0"/>
                      <w:sz w:val="24"/>
                      <w:szCs w:val="24"/>
                    </w:rPr>
                  </w:pPr>
                  <w:r>
                    <w:rPr>
                      <w:rFonts w:hint="eastAsia" w:ascii="Times New Roman" w:hAnsi="Times New Roman" w:eastAsia="方正书宋_GBK" w:cs="宋体"/>
                      <w:szCs w:val="21"/>
                    </w:rPr>
                    <w:t>正科级</w:t>
                  </w:r>
                </w:p>
              </w:tc>
              <w:tc>
                <w:tcPr>
                  <w:tcW w:w="2902" w:type="dxa"/>
                  <w:tcBorders>
                    <w:top w:val="single" w:color="000000" w:sz="6" w:space="0"/>
                    <w:left w:val="nil"/>
                    <w:bottom w:val="single" w:color="000000" w:sz="6" w:space="0"/>
                    <w:right w:val="single" w:color="000000" w:sz="6" w:space="0"/>
                  </w:tcBorders>
                  <w:shd w:val="clear" w:color="auto" w:fill="auto"/>
                  <w:vAlign w:val="center"/>
                </w:tcPr>
                <w:p>
                  <w:pPr>
                    <w:widowControl/>
                    <w:spacing w:line="227" w:lineRule="atLeast"/>
                    <w:jc w:val="left"/>
                    <w:rPr>
                      <w:rFonts w:ascii="宋体" w:hAnsi="宋体" w:eastAsia="宋体" w:cs="宋体"/>
                      <w:kern w:val="0"/>
                      <w:sz w:val="24"/>
                      <w:szCs w:val="24"/>
                    </w:rPr>
                  </w:pPr>
                  <w:r>
                    <w:rPr>
                      <w:rFonts w:hint="eastAsia" w:ascii="Times New Roman" w:hAnsi="Times New Roman" w:eastAsia="方正书宋_GBK" w:cs="宋体"/>
                      <w:szCs w:val="21"/>
                    </w:rPr>
                    <w:t>财政拨款</w:t>
                  </w:r>
                </w:p>
              </w:tc>
            </w:tr>
          </w:tbl>
          <w:p>
            <w:pPr>
              <w:widowControl/>
              <w:numPr>
                <w:ilvl w:val="0"/>
                <w:numId w:val="0"/>
              </w:numPr>
              <w:spacing w:line="420" w:lineRule="atLeast"/>
              <w:ind w:firstLine="640" w:firstLineChars="200"/>
              <w:jc w:val="left"/>
              <w:rPr>
                <w:rFonts w:hint="eastAsia" w:ascii="黑体" w:hAnsi="黑体" w:eastAsia="黑体" w:cs="宋体"/>
                <w:color w:val="484747"/>
                <w:sz w:val="32"/>
                <w:szCs w:val="32"/>
                <w:lang w:val="en-US" w:eastAsia="zh-CN"/>
              </w:rPr>
            </w:pPr>
            <w:r>
              <w:rPr>
                <w:rFonts w:hint="eastAsia" w:ascii="黑体" w:hAnsi="黑体" w:eastAsia="黑体" w:cs="宋体"/>
                <w:color w:val="484747"/>
                <w:sz w:val="32"/>
                <w:szCs w:val="32"/>
                <w:lang w:val="en-US" w:eastAsia="zh-CN"/>
              </w:rPr>
              <w:t>第二部分  大城县水务局部门2017年度部门决算报表（附表）</w:t>
            </w:r>
          </w:p>
          <w:p>
            <w:pPr>
              <w:widowControl/>
              <w:numPr>
                <w:ilvl w:val="0"/>
                <w:numId w:val="0"/>
              </w:numPr>
              <w:spacing w:line="420" w:lineRule="atLeast"/>
              <w:ind w:firstLine="640" w:firstLineChars="200"/>
              <w:jc w:val="left"/>
              <w:rPr>
                <w:rFonts w:hint="eastAsia" w:ascii="黑体" w:hAnsi="黑体" w:eastAsia="黑体" w:cs="宋体"/>
                <w:color w:val="484747"/>
                <w:sz w:val="32"/>
                <w:szCs w:val="32"/>
                <w:lang w:val="en-US" w:eastAsia="zh-CN"/>
              </w:rPr>
            </w:pPr>
            <w:r>
              <w:rPr>
                <w:rFonts w:hint="eastAsia" w:ascii="黑体" w:hAnsi="黑体" w:eastAsia="黑体" w:cs="宋体"/>
                <w:color w:val="484747"/>
                <w:sz w:val="32"/>
                <w:szCs w:val="32"/>
                <w:lang w:val="en-US" w:eastAsia="zh-CN"/>
              </w:rPr>
              <w:t>第三部分  大城县水务局部门2017年度部门决算情况说明</w:t>
            </w:r>
          </w:p>
          <w:p>
            <w:pPr>
              <w:widowControl/>
              <w:numPr>
                <w:ilvl w:val="0"/>
                <w:numId w:val="0"/>
              </w:numPr>
              <w:spacing w:line="420" w:lineRule="atLeast"/>
              <w:ind w:firstLine="640" w:firstLineChars="200"/>
              <w:jc w:val="left"/>
              <w:rPr>
                <w:rFonts w:hint="eastAsia" w:ascii="黑体" w:hAnsi="黑体" w:eastAsia="黑体" w:cs="宋体"/>
                <w:color w:val="484747"/>
                <w:sz w:val="32"/>
                <w:szCs w:val="32"/>
                <w:lang w:val="en-US" w:eastAsia="zh-CN"/>
              </w:rPr>
            </w:pPr>
            <w:r>
              <w:rPr>
                <w:rFonts w:hint="eastAsia" w:ascii="黑体" w:hAnsi="黑体" w:eastAsia="黑体" w:cs="宋体"/>
                <w:color w:val="484747"/>
                <w:sz w:val="32"/>
                <w:szCs w:val="32"/>
                <w:lang w:val="en-US" w:eastAsia="zh-CN"/>
              </w:rPr>
              <w:t>一、收入支出决算总体情况说明</w:t>
            </w:r>
          </w:p>
          <w:p>
            <w:pPr>
              <w:widowControl/>
              <w:spacing w:line="420" w:lineRule="atLeast"/>
              <w:ind w:firstLine="640" w:firstLineChars="200"/>
              <w:jc w:val="left"/>
              <w:rPr>
                <w:rFonts w:hint="eastAsia" w:ascii="仿宋_GB2312" w:hAnsi="宋体" w:eastAsia="仿宋_GB2312" w:cs="宋体"/>
                <w:color w:val="484747"/>
                <w:kern w:val="0"/>
                <w:sz w:val="32"/>
                <w:szCs w:val="32"/>
              </w:rPr>
            </w:pPr>
            <w:r>
              <w:rPr>
                <w:rFonts w:hint="eastAsia" w:ascii="仿宋_GB2312" w:hAnsi="宋体" w:eastAsia="仿宋_GB2312" w:cs="宋体"/>
                <w:color w:val="484747"/>
                <w:kern w:val="0"/>
                <w:sz w:val="32"/>
                <w:szCs w:val="32"/>
              </w:rPr>
              <w:t>本部门2017年度年初结转和结余</w:t>
            </w:r>
            <w:r>
              <w:rPr>
                <w:rFonts w:hint="eastAsia" w:ascii="仿宋_GB2312" w:hAnsi="宋体" w:eastAsia="仿宋_GB2312" w:cs="宋体"/>
                <w:color w:val="484747"/>
                <w:kern w:val="0"/>
                <w:sz w:val="32"/>
                <w:szCs w:val="32"/>
                <w:lang w:val="en-US" w:eastAsia="zh-CN"/>
              </w:rPr>
              <w:t>1559.95</w:t>
            </w:r>
            <w:r>
              <w:rPr>
                <w:rFonts w:hint="eastAsia" w:ascii="仿宋_GB2312" w:hAnsi="宋体" w:eastAsia="仿宋_GB2312" w:cs="宋体"/>
                <w:color w:val="484747"/>
                <w:kern w:val="0"/>
                <w:sz w:val="32"/>
                <w:szCs w:val="32"/>
              </w:rPr>
              <w:t>万元，本年收入</w:t>
            </w:r>
            <w:r>
              <w:rPr>
                <w:rFonts w:hint="eastAsia" w:ascii="仿宋_GB2312" w:hAnsi="宋体" w:eastAsia="仿宋_GB2312" w:cs="宋体"/>
                <w:color w:val="484747"/>
                <w:kern w:val="0"/>
                <w:sz w:val="32"/>
                <w:szCs w:val="32"/>
                <w:lang w:val="en-US" w:eastAsia="zh-CN"/>
              </w:rPr>
              <w:t>5974.18</w:t>
            </w:r>
            <w:r>
              <w:rPr>
                <w:rFonts w:hint="eastAsia" w:ascii="仿宋_GB2312" w:hAnsi="宋体" w:eastAsia="仿宋_GB2312" w:cs="宋体"/>
                <w:color w:val="484747"/>
                <w:kern w:val="0"/>
                <w:sz w:val="32"/>
                <w:szCs w:val="32"/>
              </w:rPr>
              <w:t>万元；本年支出</w:t>
            </w:r>
            <w:r>
              <w:rPr>
                <w:rFonts w:hint="eastAsia" w:ascii="仿宋_GB2312" w:hAnsi="宋体" w:eastAsia="仿宋_GB2312" w:cs="宋体"/>
                <w:color w:val="484747"/>
                <w:kern w:val="0"/>
                <w:sz w:val="32"/>
                <w:szCs w:val="32"/>
                <w:lang w:val="en-US" w:eastAsia="zh-CN"/>
              </w:rPr>
              <w:t>5762.84</w:t>
            </w:r>
            <w:r>
              <w:rPr>
                <w:rFonts w:hint="eastAsia" w:ascii="仿宋_GB2312" w:hAnsi="宋体" w:eastAsia="仿宋_GB2312" w:cs="宋体"/>
                <w:color w:val="484747"/>
                <w:kern w:val="0"/>
                <w:sz w:val="32"/>
                <w:szCs w:val="32"/>
              </w:rPr>
              <w:t>万元、年末结转和结余</w:t>
            </w:r>
            <w:r>
              <w:rPr>
                <w:rFonts w:hint="eastAsia" w:ascii="仿宋_GB2312" w:hAnsi="宋体" w:eastAsia="仿宋_GB2312" w:cs="宋体"/>
                <w:color w:val="484747"/>
                <w:kern w:val="0"/>
                <w:sz w:val="32"/>
                <w:szCs w:val="32"/>
                <w:lang w:val="en-US" w:eastAsia="zh-CN"/>
              </w:rPr>
              <w:t>1771.29</w:t>
            </w:r>
            <w:r>
              <w:rPr>
                <w:rFonts w:hint="eastAsia" w:ascii="仿宋_GB2312" w:hAnsi="宋体" w:eastAsia="仿宋_GB2312" w:cs="宋体"/>
                <w:color w:val="484747"/>
                <w:kern w:val="0"/>
                <w:sz w:val="32"/>
                <w:szCs w:val="32"/>
              </w:rPr>
              <w:t>万元。与2016年度决算相比，本年收入增加</w:t>
            </w:r>
            <w:r>
              <w:rPr>
                <w:rFonts w:hint="eastAsia" w:ascii="仿宋_GB2312" w:hAnsi="宋体" w:eastAsia="仿宋_GB2312" w:cs="宋体"/>
                <w:color w:val="484747"/>
                <w:kern w:val="0"/>
                <w:sz w:val="32"/>
                <w:szCs w:val="32"/>
                <w:lang w:val="en-US" w:eastAsia="zh-CN"/>
              </w:rPr>
              <w:t>1466.18</w:t>
            </w:r>
            <w:r>
              <w:rPr>
                <w:rFonts w:hint="eastAsia" w:ascii="仿宋_GB2312" w:hAnsi="宋体" w:eastAsia="仿宋_GB2312" w:cs="宋体"/>
                <w:color w:val="484747"/>
                <w:kern w:val="0"/>
                <w:sz w:val="32"/>
                <w:szCs w:val="32"/>
              </w:rPr>
              <w:t>万元，增长</w:t>
            </w:r>
            <w:r>
              <w:rPr>
                <w:rFonts w:hint="eastAsia" w:ascii="仿宋_GB2312" w:hAnsi="宋体" w:eastAsia="仿宋_GB2312" w:cs="宋体"/>
                <w:color w:val="484747"/>
                <w:kern w:val="0"/>
                <w:sz w:val="32"/>
                <w:szCs w:val="32"/>
                <w:lang w:val="en-US" w:eastAsia="zh-CN"/>
              </w:rPr>
              <w:t>32.52</w:t>
            </w:r>
            <w:r>
              <w:rPr>
                <w:rFonts w:hint="eastAsia" w:ascii="仿宋_GB2312" w:hAnsi="宋体" w:eastAsia="仿宋_GB2312" w:cs="宋体"/>
                <w:color w:val="484747"/>
                <w:kern w:val="0"/>
                <w:sz w:val="32"/>
                <w:szCs w:val="32"/>
              </w:rPr>
              <w:t>%，主要是</w:t>
            </w:r>
            <w:r>
              <w:rPr>
                <w:rFonts w:hint="eastAsia" w:ascii="仿宋_GB2312" w:hAnsi="宋体" w:eastAsia="仿宋_GB2312" w:cs="宋体"/>
                <w:color w:val="484747"/>
                <w:kern w:val="0"/>
                <w:sz w:val="32"/>
                <w:szCs w:val="32"/>
                <w:lang w:eastAsia="zh-CN"/>
              </w:rPr>
              <w:t>项目增加</w:t>
            </w:r>
            <w:r>
              <w:rPr>
                <w:rFonts w:hint="eastAsia" w:ascii="仿宋_GB2312" w:hAnsi="宋体" w:eastAsia="仿宋_GB2312" w:cs="宋体"/>
                <w:color w:val="484747"/>
                <w:kern w:val="0"/>
                <w:sz w:val="32"/>
                <w:szCs w:val="32"/>
              </w:rPr>
              <w:t>；本年支出增加</w:t>
            </w:r>
            <w:r>
              <w:rPr>
                <w:rFonts w:hint="eastAsia" w:ascii="仿宋_GB2312" w:hAnsi="宋体" w:eastAsia="仿宋_GB2312" w:cs="宋体"/>
                <w:color w:val="484747"/>
                <w:kern w:val="0"/>
                <w:sz w:val="32"/>
                <w:szCs w:val="32"/>
                <w:lang w:val="en-US" w:eastAsia="zh-CN"/>
              </w:rPr>
              <w:t>1770.64</w:t>
            </w:r>
            <w:r>
              <w:rPr>
                <w:rFonts w:hint="eastAsia" w:ascii="仿宋_GB2312" w:hAnsi="宋体" w:eastAsia="仿宋_GB2312" w:cs="宋体"/>
                <w:color w:val="484747"/>
                <w:kern w:val="0"/>
                <w:sz w:val="32"/>
                <w:szCs w:val="32"/>
              </w:rPr>
              <w:t>万元，增长</w:t>
            </w:r>
            <w:r>
              <w:rPr>
                <w:rFonts w:hint="eastAsia" w:ascii="仿宋_GB2312" w:hAnsi="宋体" w:eastAsia="仿宋_GB2312" w:cs="宋体"/>
                <w:color w:val="484747"/>
                <w:kern w:val="0"/>
                <w:sz w:val="32"/>
                <w:szCs w:val="32"/>
                <w:lang w:val="en-US" w:eastAsia="zh-CN"/>
              </w:rPr>
              <w:t>44.35</w:t>
            </w:r>
            <w:r>
              <w:rPr>
                <w:rFonts w:hint="eastAsia" w:ascii="仿宋_GB2312" w:hAnsi="宋体" w:eastAsia="仿宋_GB2312" w:cs="宋体"/>
                <w:color w:val="484747"/>
                <w:kern w:val="0"/>
                <w:sz w:val="32"/>
                <w:szCs w:val="32"/>
              </w:rPr>
              <w:t>%，主要是</w:t>
            </w:r>
            <w:r>
              <w:rPr>
                <w:rFonts w:hint="eastAsia" w:ascii="仿宋_GB2312" w:hAnsi="宋体" w:eastAsia="仿宋_GB2312" w:cs="宋体"/>
                <w:color w:val="484747"/>
                <w:kern w:val="0"/>
                <w:sz w:val="32"/>
                <w:szCs w:val="32"/>
                <w:lang w:eastAsia="zh-CN"/>
              </w:rPr>
              <w:t>项目支出增加</w:t>
            </w:r>
            <w:r>
              <w:rPr>
                <w:rFonts w:hint="eastAsia" w:ascii="仿宋_GB2312" w:hAnsi="宋体" w:eastAsia="仿宋_GB2312" w:cs="宋体"/>
                <w:color w:val="484747"/>
                <w:kern w:val="0"/>
                <w:sz w:val="32"/>
                <w:szCs w:val="32"/>
              </w:rPr>
              <w:t>。</w:t>
            </w:r>
          </w:p>
          <w:p>
            <w:pPr>
              <w:widowControl/>
              <w:numPr>
                <w:ilvl w:val="0"/>
                <w:numId w:val="1"/>
              </w:numPr>
              <w:spacing w:line="420" w:lineRule="atLeast"/>
              <w:ind w:firstLine="640" w:firstLineChars="200"/>
              <w:jc w:val="left"/>
              <w:rPr>
                <w:rFonts w:hint="eastAsia" w:ascii="黑体" w:hAnsi="黑体" w:eastAsia="黑体" w:cs="宋体"/>
                <w:color w:val="484747"/>
                <w:sz w:val="32"/>
                <w:szCs w:val="32"/>
                <w:lang w:val="en-US" w:eastAsia="zh-CN"/>
              </w:rPr>
            </w:pPr>
            <w:r>
              <w:rPr>
                <w:rFonts w:hint="eastAsia" w:ascii="黑体" w:hAnsi="黑体" w:eastAsia="黑体" w:cs="宋体"/>
                <w:color w:val="484747"/>
                <w:sz w:val="32"/>
                <w:szCs w:val="32"/>
                <w:lang w:val="en-US" w:eastAsia="zh-CN"/>
              </w:rPr>
              <w:t>收入决算情况说明</w:t>
            </w:r>
          </w:p>
          <w:p>
            <w:pPr>
              <w:widowControl/>
              <w:numPr>
                <w:ilvl w:val="0"/>
                <w:numId w:val="0"/>
              </w:numPr>
              <w:spacing w:line="420" w:lineRule="atLeast"/>
              <w:ind w:firstLine="640" w:firstLineChars="200"/>
              <w:jc w:val="left"/>
              <w:rPr>
                <w:rFonts w:hint="eastAsia" w:ascii="黑体" w:hAnsi="黑体" w:eastAsia="黑体" w:cs="宋体"/>
                <w:color w:val="484747"/>
                <w:sz w:val="32"/>
                <w:szCs w:val="32"/>
                <w:lang w:val="en-US" w:eastAsia="zh-CN"/>
              </w:rPr>
            </w:pPr>
            <w:r>
              <w:rPr>
                <w:rFonts w:hint="eastAsia" w:ascii="仿宋_GB2312" w:hAnsi="宋体" w:eastAsia="仿宋_GB2312" w:cs="宋体"/>
                <w:color w:val="484747"/>
                <w:kern w:val="0"/>
                <w:sz w:val="32"/>
                <w:szCs w:val="32"/>
                <w:lang w:val="en-US" w:eastAsia="zh-CN"/>
              </w:rPr>
              <w:t>本部门2017年度本年收入合计5974.18万元，其中：财政拨款收入5974.18万元，占100%；事业收入0万元，占0%；经营收入0万元，占0%；其他收入0元，占0%。</w:t>
            </w:r>
          </w:p>
          <w:p>
            <w:pPr>
              <w:widowControl/>
              <w:numPr>
                <w:ilvl w:val="0"/>
                <w:numId w:val="0"/>
              </w:numPr>
              <w:spacing w:line="420" w:lineRule="atLeast"/>
              <w:ind w:firstLine="640" w:firstLineChars="200"/>
              <w:jc w:val="left"/>
              <w:rPr>
                <w:rFonts w:hint="eastAsia" w:ascii="黑体" w:hAnsi="黑体" w:eastAsia="黑体" w:cs="宋体"/>
                <w:color w:val="484747"/>
                <w:sz w:val="32"/>
                <w:szCs w:val="32"/>
                <w:lang w:val="en-US" w:eastAsia="zh-CN"/>
              </w:rPr>
            </w:pPr>
            <w:r>
              <w:rPr>
                <w:rFonts w:hint="eastAsia" w:ascii="黑体" w:hAnsi="黑体" w:eastAsia="黑体" w:cs="宋体"/>
                <w:color w:val="484747"/>
                <w:sz w:val="32"/>
                <w:szCs w:val="32"/>
                <w:lang w:val="en-US" w:eastAsia="zh-CN"/>
              </w:rPr>
              <w:t>三、支出决算情况说明</w:t>
            </w:r>
          </w:p>
          <w:p>
            <w:pPr>
              <w:adjustRightInd w:val="0"/>
              <w:snapToGrid w:val="0"/>
              <w:spacing w:line="584" w:lineRule="exact"/>
              <w:ind w:firstLine="640" w:firstLineChars="200"/>
              <w:jc w:val="both"/>
              <w:rPr>
                <w:rFonts w:hint="eastAsia" w:ascii="仿宋_GB2312" w:hAnsi="宋体" w:eastAsia="仿宋_GB2312" w:cs="宋体"/>
                <w:color w:val="484747"/>
                <w:kern w:val="0"/>
                <w:sz w:val="32"/>
                <w:szCs w:val="32"/>
              </w:rPr>
            </w:pPr>
            <w:r>
              <w:rPr>
                <w:rFonts w:hint="eastAsia" w:ascii="仿宋_GB2312" w:hAnsi="宋体" w:eastAsia="仿宋_GB2312" w:cs="宋体"/>
                <w:color w:val="484747"/>
                <w:kern w:val="0"/>
                <w:sz w:val="32"/>
                <w:szCs w:val="32"/>
              </w:rPr>
              <w:t>本部门2017年度本年支出合计</w:t>
            </w:r>
            <w:r>
              <w:rPr>
                <w:rFonts w:hint="eastAsia" w:ascii="仿宋_GB2312" w:hAnsi="宋体" w:eastAsia="仿宋_GB2312" w:cs="宋体"/>
                <w:color w:val="484747"/>
                <w:kern w:val="0"/>
                <w:sz w:val="32"/>
                <w:szCs w:val="32"/>
                <w:lang w:val="en-US" w:eastAsia="zh-CN"/>
              </w:rPr>
              <w:t>5762.84</w:t>
            </w:r>
            <w:r>
              <w:rPr>
                <w:rFonts w:hint="eastAsia" w:ascii="仿宋_GB2312" w:hAnsi="宋体" w:eastAsia="仿宋_GB2312" w:cs="宋体"/>
                <w:color w:val="484747"/>
                <w:kern w:val="0"/>
                <w:sz w:val="32"/>
                <w:szCs w:val="32"/>
              </w:rPr>
              <w:t>万元，其中：基本支出</w:t>
            </w:r>
            <w:r>
              <w:rPr>
                <w:rFonts w:hint="eastAsia" w:ascii="仿宋_GB2312" w:hAnsi="宋体" w:eastAsia="仿宋_GB2312" w:cs="宋体"/>
                <w:color w:val="484747"/>
                <w:kern w:val="0"/>
                <w:sz w:val="32"/>
                <w:szCs w:val="32"/>
                <w:lang w:val="en-US" w:eastAsia="zh-CN"/>
              </w:rPr>
              <w:t>902.86</w:t>
            </w:r>
            <w:r>
              <w:rPr>
                <w:rFonts w:hint="eastAsia" w:ascii="仿宋_GB2312" w:hAnsi="宋体" w:eastAsia="仿宋_GB2312" w:cs="宋体"/>
                <w:color w:val="484747"/>
                <w:kern w:val="0"/>
                <w:sz w:val="32"/>
                <w:szCs w:val="32"/>
              </w:rPr>
              <w:t>万元，占</w:t>
            </w:r>
            <w:r>
              <w:rPr>
                <w:rFonts w:hint="eastAsia" w:ascii="仿宋_GB2312" w:hAnsi="宋体" w:eastAsia="仿宋_GB2312" w:cs="宋体"/>
                <w:color w:val="484747"/>
                <w:kern w:val="0"/>
                <w:sz w:val="32"/>
                <w:szCs w:val="32"/>
                <w:lang w:val="en-US" w:eastAsia="zh-CN"/>
              </w:rPr>
              <w:t>15.67</w:t>
            </w:r>
            <w:r>
              <w:rPr>
                <w:rFonts w:hint="eastAsia" w:ascii="仿宋_GB2312" w:hAnsi="宋体" w:eastAsia="仿宋_GB2312" w:cs="宋体"/>
                <w:color w:val="484747"/>
                <w:kern w:val="0"/>
                <w:sz w:val="32"/>
                <w:szCs w:val="32"/>
              </w:rPr>
              <w:t>%；项目支出</w:t>
            </w:r>
            <w:r>
              <w:rPr>
                <w:rFonts w:hint="eastAsia" w:ascii="仿宋_GB2312" w:hAnsi="宋体" w:eastAsia="仿宋_GB2312" w:cs="宋体"/>
                <w:color w:val="484747"/>
                <w:kern w:val="0"/>
                <w:sz w:val="32"/>
                <w:szCs w:val="32"/>
                <w:lang w:val="en-US" w:eastAsia="zh-CN"/>
              </w:rPr>
              <w:t>4859.98</w:t>
            </w:r>
            <w:r>
              <w:rPr>
                <w:rFonts w:hint="eastAsia" w:ascii="仿宋_GB2312" w:hAnsi="宋体" w:eastAsia="仿宋_GB2312" w:cs="宋体"/>
                <w:color w:val="484747"/>
                <w:kern w:val="0"/>
                <w:sz w:val="32"/>
                <w:szCs w:val="32"/>
              </w:rPr>
              <w:t>万元，占</w:t>
            </w:r>
            <w:r>
              <w:rPr>
                <w:rFonts w:hint="eastAsia" w:ascii="仿宋_GB2312" w:hAnsi="宋体" w:eastAsia="仿宋_GB2312" w:cs="宋体"/>
                <w:color w:val="484747"/>
                <w:kern w:val="0"/>
                <w:sz w:val="32"/>
                <w:szCs w:val="32"/>
                <w:lang w:val="en-US" w:eastAsia="zh-CN"/>
              </w:rPr>
              <w:t>84.33</w:t>
            </w:r>
            <w:r>
              <w:rPr>
                <w:rFonts w:hint="eastAsia" w:ascii="仿宋_GB2312" w:hAnsi="宋体" w:eastAsia="仿宋_GB2312" w:cs="宋体"/>
                <w:color w:val="484747"/>
                <w:kern w:val="0"/>
                <w:sz w:val="32"/>
                <w:szCs w:val="32"/>
              </w:rPr>
              <w:t>%；经营支出</w:t>
            </w:r>
            <w:r>
              <w:rPr>
                <w:rFonts w:hint="eastAsia" w:ascii="仿宋_GB2312" w:hAnsi="宋体" w:eastAsia="仿宋_GB2312" w:cs="宋体"/>
                <w:color w:val="484747"/>
                <w:kern w:val="0"/>
                <w:sz w:val="32"/>
                <w:szCs w:val="32"/>
                <w:lang w:val="en-US" w:eastAsia="zh-CN"/>
              </w:rPr>
              <w:t>0</w:t>
            </w:r>
            <w:r>
              <w:rPr>
                <w:rFonts w:hint="eastAsia" w:ascii="仿宋_GB2312" w:hAnsi="宋体" w:eastAsia="仿宋_GB2312" w:cs="宋体"/>
                <w:color w:val="484747"/>
                <w:kern w:val="0"/>
                <w:sz w:val="32"/>
                <w:szCs w:val="32"/>
              </w:rPr>
              <w:t>万元，占</w:t>
            </w:r>
            <w:r>
              <w:rPr>
                <w:rFonts w:hint="eastAsia" w:ascii="仿宋_GB2312" w:hAnsi="宋体" w:eastAsia="仿宋_GB2312" w:cs="宋体"/>
                <w:color w:val="484747"/>
                <w:kern w:val="0"/>
                <w:sz w:val="32"/>
                <w:szCs w:val="32"/>
                <w:lang w:val="en-US" w:eastAsia="zh-CN"/>
              </w:rPr>
              <w:t>0</w:t>
            </w:r>
            <w:r>
              <w:rPr>
                <w:rFonts w:hint="eastAsia" w:ascii="仿宋_GB2312" w:hAnsi="宋体" w:eastAsia="仿宋_GB2312" w:cs="宋体"/>
                <w:color w:val="484747"/>
                <w:kern w:val="0"/>
                <w:sz w:val="32"/>
                <w:szCs w:val="32"/>
              </w:rPr>
              <w:t>%。</w:t>
            </w:r>
          </w:p>
          <w:p>
            <w:pPr>
              <w:widowControl/>
              <w:numPr>
                <w:ilvl w:val="0"/>
                <w:numId w:val="0"/>
              </w:numPr>
              <w:spacing w:line="420" w:lineRule="atLeast"/>
              <w:ind w:firstLine="640" w:firstLineChars="200"/>
              <w:jc w:val="left"/>
              <w:rPr>
                <w:rFonts w:hint="eastAsia" w:ascii="黑体" w:hAnsi="黑体" w:eastAsia="黑体" w:cs="宋体"/>
                <w:color w:val="484747"/>
                <w:sz w:val="32"/>
                <w:szCs w:val="32"/>
                <w:lang w:val="en-US" w:eastAsia="zh-CN"/>
              </w:rPr>
            </w:pPr>
            <w:r>
              <w:rPr>
                <w:rFonts w:hint="eastAsia" w:ascii="黑体" w:hAnsi="黑体" w:eastAsia="黑体" w:cs="宋体"/>
                <w:color w:val="484747"/>
                <w:sz w:val="32"/>
                <w:szCs w:val="32"/>
                <w:lang w:val="en-US" w:eastAsia="zh-CN"/>
              </w:rPr>
              <w:t>四、财政拨款收入支出决算总体情况说明</w:t>
            </w:r>
          </w:p>
          <w:p>
            <w:pPr>
              <w:widowControl/>
              <w:numPr>
                <w:ilvl w:val="0"/>
                <w:numId w:val="0"/>
              </w:numPr>
              <w:spacing w:line="420" w:lineRule="atLeast"/>
              <w:ind w:firstLine="640" w:firstLineChars="200"/>
              <w:jc w:val="left"/>
              <w:rPr>
                <w:rFonts w:hint="eastAsia" w:ascii="黑体" w:hAnsi="黑体" w:eastAsia="黑体" w:cs="宋体"/>
                <w:color w:val="484747"/>
                <w:sz w:val="32"/>
                <w:szCs w:val="32"/>
                <w:lang w:val="en-US" w:eastAsia="zh-CN"/>
              </w:rPr>
            </w:pPr>
            <w:r>
              <w:rPr>
                <w:rFonts w:hint="eastAsia" w:ascii="黑体" w:hAnsi="黑体" w:eastAsia="黑体" w:cs="宋体"/>
                <w:color w:val="484747"/>
                <w:sz w:val="32"/>
                <w:szCs w:val="32"/>
                <w:lang w:val="en-US" w:eastAsia="zh-CN"/>
              </w:rPr>
              <w:t>（一）财政拨款收支与2016 年度决算对比情况</w:t>
            </w:r>
          </w:p>
          <w:p>
            <w:pPr>
              <w:adjustRightInd w:val="0"/>
              <w:snapToGrid w:val="0"/>
              <w:spacing w:line="584" w:lineRule="exact"/>
              <w:ind w:firstLine="640" w:firstLineChars="200"/>
              <w:jc w:val="both"/>
              <w:rPr>
                <w:rFonts w:hint="eastAsia" w:ascii="仿宋_GB2312" w:hAnsi="宋体" w:eastAsia="仿宋_GB2312" w:cs="宋体"/>
                <w:color w:val="484747"/>
                <w:kern w:val="0"/>
                <w:sz w:val="32"/>
                <w:szCs w:val="32"/>
                <w:lang w:val="en-US" w:eastAsia="zh-CN"/>
              </w:rPr>
            </w:pPr>
            <w:r>
              <w:rPr>
                <w:rFonts w:eastAsia="仿宋_GB2312"/>
                <w:sz w:val="32"/>
                <w:szCs w:val="32"/>
              </w:rPr>
              <w:t>本</w:t>
            </w:r>
            <w:r>
              <w:rPr>
                <w:rFonts w:hint="eastAsia" w:ascii="仿宋_GB2312" w:hAnsi="宋体" w:eastAsia="仿宋_GB2312" w:cs="宋体"/>
                <w:color w:val="484747"/>
                <w:kern w:val="0"/>
                <w:sz w:val="32"/>
                <w:szCs w:val="32"/>
                <w:lang w:val="en-US" w:eastAsia="zh-CN"/>
              </w:rPr>
              <w:t>部门2017年度财政拨款年初结转和结余1559.95万元，本年收入5974.18万元，本年支出5762.84万元，年末结转和结余1771.29万元。与2016年度决算相比，财政拨款本年收入增加1466.18万元，增长32.52%，主要是项目增加；本年支出增加1770.64万元，增长44.35%，主要是项目支出增加。</w:t>
            </w:r>
          </w:p>
          <w:p>
            <w:pPr>
              <w:adjustRightInd w:val="0"/>
              <w:snapToGrid w:val="0"/>
              <w:spacing w:line="584" w:lineRule="exact"/>
              <w:ind w:firstLine="640" w:firstLineChars="200"/>
              <w:jc w:val="both"/>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其中，一般公共预算财政拨款年初结转和结余1559.95万元，本年收入3064.94万元；本年支出3263.03万元、年末结转和结余1361.86万元。与2016年度决算相比，一般公共预算财政拨款本年收入减少1423.06万元，降低31.71%，主要原因是项目减少；本年支出减少709.17万元，降低17.85%，主要原因是项目减少。</w:t>
            </w:r>
          </w:p>
          <w:p>
            <w:pPr>
              <w:adjustRightInd w:val="0"/>
              <w:snapToGrid w:val="0"/>
              <w:spacing w:line="584" w:lineRule="exact"/>
              <w:ind w:firstLine="640" w:firstLineChars="200"/>
              <w:jc w:val="both"/>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府性基金预算财政拨款年初结转和结余0万元、本年收入2909.24万元；本年支出2499.81万元、年末结转和结余409.43万元。与2016年度决算相比，政府性基金预算财政拨款本年收入增加2889.24万元，增长144.46%，主要原因是项目增加；本年支出增加2479.81万元，增长124%，主要原因是项目增加。</w:t>
            </w:r>
          </w:p>
          <w:p>
            <w:pPr>
              <w:widowControl/>
              <w:numPr>
                <w:ilvl w:val="0"/>
                <w:numId w:val="0"/>
              </w:numPr>
              <w:spacing w:line="420" w:lineRule="atLeast"/>
              <w:ind w:firstLine="640" w:firstLineChars="200"/>
              <w:jc w:val="left"/>
              <w:rPr>
                <w:rFonts w:hint="eastAsia" w:ascii="黑体" w:hAnsi="黑体" w:eastAsia="黑体" w:cs="宋体"/>
                <w:color w:val="484747"/>
                <w:sz w:val="32"/>
                <w:szCs w:val="32"/>
                <w:lang w:val="en-US" w:eastAsia="zh-CN"/>
              </w:rPr>
            </w:pPr>
            <w:r>
              <w:rPr>
                <w:rFonts w:hint="eastAsia" w:ascii="黑体" w:hAnsi="黑体" w:eastAsia="黑体" w:cs="宋体"/>
                <w:color w:val="484747"/>
                <w:sz w:val="32"/>
                <w:szCs w:val="32"/>
                <w:lang w:val="en-US" w:eastAsia="zh-CN"/>
              </w:rPr>
              <w:t>（二）财政拨款收支与年初预算数对比情况</w:t>
            </w:r>
          </w:p>
          <w:p>
            <w:pPr>
              <w:adjustRightInd w:val="0"/>
              <w:snapToGrid w:val="0"/>
              <w:spacing w:line="584" w:lineRule="exact"/>
              <w:ind w:firstLine="640" w:firstLineChars="200"/>
              <w:jc w:val="both"/>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本部门2017年度财政拨款本年收入较2017年初预算增加4079.92万元，增长215.38%，主要原因是年中预算调增了项目；本年支出增加3868.58万元，增长204.23%，主要原因是年中预算调增了项目。</w:t>
            </w:r>
          </w:p>
          <w:p>
            <w:pPr>
              <w:adjustRightInd w:val="0"/>
              <w:snapToGrid w:val="0"/>
              <w:spacing w:line="584" w:lineRule="exact"/>
              <w:ind w:firstLine="640" w:firstLineChars="200"/>
              <w:jc w:val="both"/>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其中，本部门2017年度一般公共预算财政拨款本年收入较2017年初预算增加1194.68万元，增长63.88%，主要原因是年中预算调增了项目；本年支出增加1392.77万元，增长74.47%，主要原因是年中预算调增了项目。</w:t>
            </w:r>
          </w:p>
          <w:p>
            <w:pPr>
              <w:adjustRightInd w:val="0"/>
              <w:snapToGrid w:val="0"/>
              <w:spacing w:line="584" w:lineRule="exact"/>
              <w:ind w:firstLine="640" w:firstLineChars="200"/>
              <w:jc w:val="both"/>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本部门2017年度政府性基金预算财政拨款本年收入较2017年初预算增加2885.24万元，增长12021.83%，主要原因是年中预算调增了项目；本年支出增加2475.81万元，增长10315.88%，主要原因是年中预算调增了项目。</w:t>
            </w:r>
          </w:p>
          <w:p>
            <w:pPr>
              <w:widowControl/>
              <w:numPr>
                <w:ilvl w:val="0"/>
                <w:numId w:val="0"/>
              </w:numPr>
              <w:spacing w:line="420" w:lineRule="atLeast"/>
              <w:ind w:firstLine="640" w:firstLineChars="200"/>
              <w:jc w:val="left"/>
            </w:pPr>
            <w:r>
              <w:rPr>
                <w:rFonts w:hint="eastAsia" w:ascii="黑体" w:hAnsi="黑体" w:eastAsia="黑体" w:cs="宋体"/>
                <w:color w:val="484747"/>
                <w:sz w:val="32"/>
                <w:szCs w:val="32"/>
                <w:lang w:val="en-US" w:eastAsia="zh-CN"/>
              </w:rPr>
              <w:t>五、一般公共预算财政拨款“三公” 经费支出决算情况说明</w:t>
            </w:r>
          </w:p>
          <w:p>
            <w:pPr>
              <w:adjustRightInd w:val="0"/>
              <w:snapToGrid w:val="0"/>
              <w:spacing w:line="584" w:lineRule="exact"/>
              <w:ind w:firstLine="640" w:firstLineChars="200"/>
              <w:jc w:val="both"/>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本部门2017年度一般公共预算财政拨款“三公”经费支出共计12.29万元，较年初预算减少0.21万元，降低1.68%，主要原因是</w:t>
            </w:r>
            <w:r>
              <w:rPr>
                <w:rFonts w:hint="default" w:ascii="仿宋_GB2312" w:hAnsi="宋体" w:eastAsia="仿宋_GB2312" w:cs="宋体"/>
                <w:color w:val="484747"/>
                <w:kern w:val="0"/>
                <w:sz w:val="32"/>
                <w:szCs w:val="32"/>
                <w:lang w:val="en-US" w:eastAsia="zh-CN"/>
              </w:rPr>
              <w:t>落实中央八项规定，厉行节约</w:t>
            </w:r>
            <w:r>
              <w:rPr>
                <w:rFonts w:hint="eastAsia" w:ascii="仿宋_GB2312" w:hAnsi="宋体" w:eastAsia="仿宋_GB2312" w:cs="宋体"/>
                <w:color w:val="484747"/>
                <w:kern w:val="0"/>
                <w:sz w:val="32"/>
                <w:szCs w:val="32"/>
                <w:lang w:val="en-US" w:eastAsia="zh-CN"/>
              </w:rPr>
              <w:t>；较2016年度决算增加0.89万元，增长7.8%，主要原因是增设了河长制办公室。具体情况如下：</w:t>
            </w:r>
          </w:p>
          <w:p>
            <w:pPr>
              <w:adjustRightInd w:val="0"/>
              <w:snapToGrid w:val="0"/>
              <w:spacing w:line="584" w:lineRule="exact"/>
              <w:ind w:firstLine="640" w:firstLineChars="200"/>
              <w:jc w:val="both"/>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（一）因公出国（境）费支出0万元。本部门2017年度因公出国（境）团组0个，因公出国（境）人次数0人。未发生因公出国（境）费支出、“较年初预算无增减变化”、“较2016年度决算无增减变化”。</w:t>
            </w:r>
          </w:p>
          <w:p>
            <w:pPr>
              <w:pStyle w:val="2"/>
              <w:numPr>
                <w:ilvl w:val="0"/>
                <w:numId w:val="0"/>
              </w:numPr>
              <w:spacing w:before="0" w:after="0" w:line="584" w:lineRule="exact"/>
              <w:ind w:firstLine="640" w:firstLineChars="200"/>
              <w:rPr>
                <w:rFonts w:hint="eastAsia" w:ascii="黑体" w:hAnsi="黑体" w:eastAsia="黑体" w:cs="宋体"/>
                <w:b/>
                <w:bCs/>
                <w:color w:val="484747"/>
                <w:kern w:val="2"/>
                <w:sz w:val="32"/>
                <w:szCs w:val="32"/>
                <w:lang w:val="en-US" w:eastAsia="zh-CN" w:bidi="ar-SA"/>
              </w:rPr>
            </w:pPr>
            <w:r>
              <w:rPr>
                <w:rFonts w:hint="eastAsia" w:ascii="仿宋_GB2312" w:hAnsi="宋体" w:eastAsia="仿宋_GB2312" w:cs="宋体"/>
                <w:b w:val="0"/>
                <w:bCs w:val="0"/>
                <w:color w:val="484747"/>
                <w:kern w:val="0"/>
                <w:sz w:val="32"/>
                <w:szCs w:val="32"/>
                <w:lang w:val="en-US" w:eastAsia="zh-CN" w:bidi="ar-SA"/>
              </w:rPr>
              <w:t>（二）公务用车购置及运行维护费支出10.49万元。其中：</w:t>
            </w:r>
          </w:p>
          <w:p>
            <w:pPr>
              <w:adjustRightInd w:val="0"/>
              <w:snapToGrid w:val="0"/>
              <w:spacing w:line="584" w:lineRule="exact"/>
              <w:ind w:firstLine="640" w:firstLineChars="200"/>
              <w:jc w:val="both"/>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公务用车购置费支出0万元。未发生“公务用车购置”经费支出、“较年初预算无增减变化”、“较2016年度决算无增减变化”。</w:t>
            </w:r>
          </w:p>
          <w:p>
            <w:pPr>
              <w:adjustRightInd w:val="0"/>
              <w:snapToGrid w:val="0"/>
              <w:spacing w:line="584" w:lineRule="exact"/>
              <w:ind w:firstLine="640" w:firstLineChars="200"/>
              <w:jc w:val="both"/>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公务用车运行维护费支出10.49万元。本部门2017年末单位公务用车保有量3辆。公车运行维护费支出较年初预算减少0.01万元，降低0.1%,主要原因是</w:t>
            </w:r>
            <w:r>
              <w:rPr>
                <w:rFonts w:hint="default" w:ascii="仿宋_GB2312" w:hAnsi="宋体" w:eastAsia="仿宋_GB2312" w:cs="宋体"/>
                <w:color w:val="484747"/>
                <w:kern w:val="0"/>
                <w:sz w:val="32"/>
                <w:szCs w:val="32"/>
                <w:lang w:val="en-US" w:eastAsia="zh-CN"/>
              </w:rPr>
              <w:t>落实中央八项规定，厉行节约</w:t>
            </w:r>
            <w:r>
              <w:rPr>
                <w:rFonts w:hint="eastAsia" w:ascii="仿宋_GB2312" w:hAnsi="宋体" w:eastAsia="仿宋_GB2312" w:cs="宋体"/>
                <w:color w:val="484747"/>
                <w:kern w:val="0"/>
                <w:sz w:val="32"/>
                <w:szCs w:val="32"/>
                <w:lang w:val="en-US" w:eastAsia="zh-CN"/>
              </w:rPr>
              <w:t>；较2016年度决算增加1.29万元，增长14.02%，主要原因是增设了河长制办公室，河长制办公室下乡次数多。</w:t>
            </w:r>
          </w:p>
          <w:p>
            <w:pPr>
              <w:adjustRightInd w:val="0"/>
              <w:snapToGrid w:val="0"/>
              <w:spacing w:line="584" w:lineRule="exact"/>
              <w:ind w:firstLine="640" w:firstLineChars="200"/>
              <w:jc w:val="both"/>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公务接待费支出1.8万元。本部门2017年度公务接待共38批次、360人次。公务接待费支出较年初预算减少0.2万元，降低10%,主要原因是</w:t>
            </w:r>
            <w:r>
              <w:rPr>
                <w:rFonts w:hint="default" w:ascii="仿宋_GB2312" w:hAnsi="宋体" w:eastAsia="仿宋_GB2312" w:cs="宋体"/>
                <w:color w:val="484747"/>
                <w:kern w:val="0"/>
                <w:sz w:val="32"/>
                <w:szCs w:val="32"/>
                <w:lang w:val="en-US" w:eastAsia="zh-CN"/>
              </w:rPr>
              <w:t>原因是落实中央八项规定，厉行节约</w:t>
            </w:r>
            <w:r>
              <w:rPr>
                <w:rFonts w:hint="eastAsia" w:ascii="仿宋_GB2312" w:hAnsi="宋体" w:eastAsia="仿宋_GB2312" w:cs="宋体"/>
                <w:color w:val="484747"/>
                <w:kern w:val="0"/>
                <w:sz w:val="32"/>
                <w:szCs w:val="32"/>
                <w:lang w:val="en-US" w:eastAsia="zh-CN"/>
              </w:rPr>
              <w:t>；较2016年度决算减少0.4万元，降低18.18%,主要原因是</w:t>
            </w:r>
            <w:r>
              <w:rPr>
                <w:rFonts w:hint="default" w:ascii="仿宋_GB2312" w:hAnsi="宋体" w:eastAsia="仿宋_GB2312" w:cs="宋体"/>
                <w:color w:val="484747"/>
                <w:kern w:val="0"/>
                <w:sz w:val="32"/>
                <w:szCs w:val="32"/>
                <w:lang w:val="en-US" w:eastAsia="zh-CN"/>
              </w:rPr>
              <w:t>原因是落实中央八项规定，厉行节约</w:t>
            </w:r>
            <w:r>
              <w:rPr>
                <w:rFonts w:hint="eastAsia" w:ascii="仿宋_GB2312" w:hAnsi="宋体" w:eastAsia="仿宋_GB2312" w:cs="宋体"/>
                <w:color w:val="484747"/>
                <w:kern w:val="0"/>
                <w:sz w:val="32"/>
                <w:szCs w:val="32"/>
                <w:lang w:val="en-US" w:eastAsia="zh-CN"/>
              </w:rPr>
              <w:t>。</w:t>
            </w:r>
          </w:p>
          <w:p>
            <w:pPr>
              <w:widowControl/>
              <w:numPr>
                <w:ilvl w:val="0"/>
                <w:numId w:val="2"/>
              </w:numPr>
              <w:spacing w:line="420" w:lineRule="atLeast"/>
              <w:ind w:firstLine="640" w:firstLineChars="200"/>
              <w:jc w:val="left"/>
              <w:rPr>
                <w:rFonts w:hint="eastAsia" w:ascii="黑体" w:hAnsi="黑体" w:eastAsia="黑体" w:cs="宋体"/>
                <w:color w:val="484747"/>
                <w:sz w:val="32"/>
                <w:szCs w:val="32"/>
                <w:lang w:val="en-US" w:eastAsia="zh-CN"/>
              </w:rPr>
            </w:pPr>
            <w:r>
              <w:rPr>
                <w:rFonts w:hint="eastAsia" w:ascii="黑体" w:hAnsi="黑体" w:eastAsia="黑体" w:cs="宋体"/>
                <w:color w:val="484747"/>
                <w:sz w:val="32"/>
                <w:szCs w:val="32"/>
                <w:lang w:val="en-US" w:eastAsia="zh-CN"/>
              </w:rPr>
              <w:t>绩效预算管理工作开展情况说明</w:t>
            </w:r>
          </w:p>
          <w:p>
            <w:pPr>
              <w:widowControl/>
              <w:spacing w:line="584" w:lineRule="exact"/>
              <w:ind w:firstLine="640" w:firstLineChars="200"/>
              <w:jc w:val="left"/>
              <w:rPr>
                <w:rFonts w:hint="eastAsia" w:ascii="仿宋_GB2312" w:hAnsi="Calibri" w:eastAsia="仿宋_GB2312" w:cs="宋体"/>
                <w:color w:val="484747"/>
                <w:sz w:val="32"/>
                <w:szCs w:val="32"/>
              </w:rPr>
            </w:pPr>
            <w:r>
              <w:rPr>
                <w:rFonts w:hint="eastAsia" w:ascii="仿宋_GB2312" w:hAnsi="Calibri" w:eastAsia="仿宋_GB2312" w:cs="宋体"/>
                <w:color w:val="484747"/>
                <w:sz w:val="32"/>
                <w:szCs w:val="32"/>
                <w:lang w:eastAsia="zh-CN"/>
              </w:rPr>
              <w:t>（一）</w:t>
            </w:r>
            <w:r>
              <w:rPr>
                <w:rFonts w:hint="eastAsia" w:ascii="仿宋_GB2312" w:hAnsi="Calibri" w:eastAsia="仿宋_GB2312" w:cs="宋体"/>
                <w:color w:val="484747"/>
                <w:sz w:val="32"/>
                <w:szCs w:val="32"/>
              </w:rPr>
              <w:t>绩效管理工作开展情况</w:t>
            </w:r>
          </w:p>
          <w:p>
            <w:pPr>
              <w:widowControl/>
              <w:spacing w:line="584" w:lineRule="exact"/>
              <w:ind w:firstLine="640" w:firstLineChars="200"/>
              <w:jc w:val="left"/>
              <w:rPr>
                <w:rFonts w:ascii="宋体" w:hAnsi="宋体" w:eastAsia="宋体" w:cs="宋体"/>
                <w:color w:val="484747"/>
                <w:kern w:val="0"/>
                <w:sz w:val="24"/>
                <w:szCs w:val="24"/>
              </w:rPr>
            </w:pPr>
            <w:r>
              <w:rPr>
                <w:rFonts w:hint="eastAsia" w:ascii="仿宋_GB2312" w:hAnsi="Calibri" w:eastAsia="仿宋_GB2312" w:cs="宋体"/>
                <w:color w:val="484747"/>
                <w:sz w:val="32"/>
                <w:szCs w:val="32"/>
              </w:rPr>
              <w:t>我单位根据县财政预算绩效管理要求，以绩效为导向，以“部门职责—工作活动”为依据，确定部门预算项目和预算额度，清晰描述预算项目开支范围和内容，确定预算项目的绩效目标、绩效指标和评价标准，为预算绩效控制、绩效分析、绩效评价打下好的基础。</w:t>
            </w:r>
          </w:p>
          <w:p>
            <w:pPr>
              <w:widowControl/>
              <w:spacing w:line="584" w:lineRule="exact"/>
              <w:ind w:firstLine="640" w:firstLineChars="200"/>
              <w:jc w:val="left"/>
              <w:rPr>
                <w:rFonts w:hint="eastAsia" w:ascii="仿宋_GB2312" w:hAnsi="Calibri" w:eastAsia="仿宋_GB2312" w:cs="宋体"/>
                <w:color w:val="484747"/>
                <w:sz w:val="32"/>
                <w:szCs w:val="32"/>
              </w:rPr>
            </w:pPr>
            <w:r>
              <w:rPr>
                <w:rFonts w:hint="eastAsia" w:ascii="仿宋_GB2312" w:hAnsi="Calibri" w:eastAsia="仿宋_GB2312" w:cs="宋体"/>
                <w:color w:val="484747"/>
                <w:sz w:val="32"/>
                <w:szCs w:val="32"/>
                <w:lang w:eastAsia="zh-CN"/>
              </w:rPr>
              <w:t>（二）</w:t>
            </w:r>
            <w:r>
              <w:rPr>
                <w:rFonts w:hint="eastAsia" w:ascii="仿宋_GB2312" w:hAnsi="Calibri" w:eastAsia="仿宋_GB2312" w:cs="宋体"/>
                <w:color w:val="484747"/>
                <w:sz w:val="32"/>
                <w:szCs w:val="32"/>
              </w:rPr>
              <w:t>预算项目绩效评价开展情况</w:t>
            </w:r>
          </w:p>
          <w:p>
            <w:pPr>
              <w:widowControl/>
              <w:spacing w:line="584" w:lineRule="exact"/>
              <w:ind w:firstLine="640" w:firstLineChars="200"/>
              <w:jc w:val="left"/>
              <w:rPr>
                <w:rFonts w:eastAsia="仿宋_GB2312"/>
                <w:sz w:val="32"/>
                <w:szCs w:val="32"/>
              </w:rPr>
            </w:pPr>
            <w:r>
              <w:rPr>
                <w:rFonts w:hint="eastAsia" w:ascii="仿宋_GB2312" w:hAnsi="Calibri" w:eastAsia="仿宋_GB2312" w:cs="宋体"/>
                <w:color w:val="484747"/>
                <w:sz w:val="32"/>
                <w:szCs w:val="32"/>
                <w:lang w:eastAsia="zh-CN"/>
              </w:rPr>
              <w:t>我</w:t>
            </w:r>
            <w:r>
              <w:rPr>
                <w:rFonts w:hint="eastAsia" w:ascii="仿宋_GB2312" w:hAnsi="Calibri" w:eastAsia="仿宋_GB2312" w:cs="宋体"/>
                <w:color w:val="484747"/>
                <w:sz w:val="32"/>
                <w:szCs w:val="32"/>
              </w:rPr>
              <w:t>单位对201</w:t>
            </w:r>
            <w:r>
              <w:rPr>
                <w:rFonts w:hint="eastAsia" w:ascii="仿宋_GB2312" w:hAnsi="Calibri" w:eastAsia="仿宋_GB2312" w:cs="宋体"/>
                <w:color w:val="484747"/>
                <w:sz w:val="32"/>
                <w:szCs w:val="32"/>
                <w:lang w:val="en-US" w:eastAsia="zh-CN"/>
              </w:rPr>
              <w:t>7</w:t>
            </w:r>
            <w:r>
              <w:rPr>
                <w:rFonts w:hint="eastAsia" w:ascii="仿宋_GB2312" w:hAnsi="Calibri" w:eastAsia="仿宋_GB2312" w:cs="宋体"/>
                <w:color w:val="484747"/>
                <w:sz w:val="32"/>
                <w:szCs w:val="32"/>
              </w:rPr>
              <w:t>年初确定的部门一般公共预算支出项目全面开展了绩效自评。部门决算项目共涉及预算资金</w:t>
            </w:r>
            <w:r>
              <w:rPr>
                <w:rFonts w:hint="eastAsia" w:ascii="仿宋_GB2312" w:hAnsi="Calibri" w:eastAsia="仿宋_GB2312" w:cs="宋体"/>
                <w:color w:val="484747"/>
                <w:sz w:val="32"/>
                <w:szCs w:val="32"/>
                <w:lang w:val="en-US" w:eastAsia="zh-CN"/>
              </w:rPr>
              <w:t>2360.16</w:t>
            </w:r>
            <w:r>
              <w:rPr>
                <w:rFonts w:hint="eastAsia" w:ascii="仿宋_GB2312" w:hAnsi="Calibri" w:eastAsia="仿宋_GB2312" w:cs="宋体"/>
                <w:color w:val="484747"/>
                <w:sz w:val="32"/>
                <w:szCs w:val="32"/>
              </w:rPr>
              <w:t xml:space="preserve"> 万元，绩效自评覆盖率达到100%。通过实施预算项目绩效评价发现，预算项目绩效目标设定还需进一步详尽，绩效指标应充分体现“结果”导向原则。进一步改进完善的措施：一是按照“结果”导向原则做好项目绩效目标设定工作，将绩效目标设定从“支出完成”和“实现产出”向注重“全面结果”的评价重点转变；二是完善项目绩效指标设定，进一步探索更具科学性和可操作性的绩效分析、绩效考核指标体系。</w:t>
            </w:r>
          </w:p>
          <w:p>
            <w:pPr>
              <w:widowControl/>
              <w:spacing w:line="584" w:lineRule="exact"/>
              <w:ind w:firstLine="640" w:firstLineChars="200"/>
              <w:jc w:val="left"/>
              <w:rPr>
                <w:rFonts w:hint="eastAsia" w:ascii="仿宋_GB2312" w:hAnsi="Calibri" w:eastAsia="仿宋_GB2312" w:cs="宋体"/>
                <w:color w:val="484747"/>
                <w:sz w:val="32"/>
                <w:szCs w:val="32"/>
              </w:rPr>
            </w:pPr>
            <w:r>
              <w:rPr>
                <w:rFonts w:hint="eastAsia" w:ascii="仿宋_GB2312" w:hAnsi="Calibri" w:eastAsia="仿宋_GB2312" w:cs="宋体"/>
                <w:color w:val="484747"/>
                <w:sz w:val="32"/>
                <w:szCs w:val="32"/>
                <w:lang w:eastAsia="zh-CN"/>
              </w:rPr>
              <w:t>（三）</w:t>
            </w:r>
            <w:r>
              <w:rPr>
                <w:rFonts w:hint="eastAsia" w:ascii="仿宋_GB2312" w:hAnsi="Calibri" w:eastAsia="仿宋_GB2312" w:cs="宋体"/>
                <w:color w:val="484747"/>
                <w:sz w:val="32"/>
                <w:szCs w:val="32"/>
              </w:rPr>
              <w:t>预算项目绩效自评选例</w:t>
            </w:r>
          </w:p>
          <w:p>
            <w:pPr>
              <w:widowControl/>
              <w:spacing w:line="584" w:lineRule="exact"/>
              <w:ind w:firstLine="640" w:firstLineChars="200"/>
              <w:jc w:val="left"/>
              <w:rPr>
                <w:rFonts w:hint="eastAsia" w:ascii="仿宋_GB2312" w:hAnsi="Calibri" w:eastAsia="仿宋_GB2312" w:cs="宋体"/>
                <w:color w:val="484747"/>
                <w:sz w:val="32"/>
                <w:szCs w:val="32"/>
                <w:lang w:val="en-US" w:eastAsia="zh-CN"/>
              </w:rPr>
            </w:pPr>
            <w:r>
              <w:rPr>
                <w:rFonts w:hint="eastAsia" w:ascii="仿宋_GB2312" w:hAnsi="Calibri" w:eastAsia="仿宋_GB2312" w:cs="宋体"/>
                <w:color w:val="484747"/>
                <w:sz w:val="32"/>
                <w:szCs w:val="32"/>
                <w:lang w:eastAsia="zh-CN"/>
              </w:rPr>
              <w:t>我单位对</w:t>
            </w:r>
            <w:r>
              <w:rPr>
                <w:rFonts w:hint="eastAsia" w:ascii="仿宋_GB2312" w:hAnsi="Calibri" w:eastAsia="仿宋_GB2312" w:cs="宋体"/>
                <w:color w:val="484747"/>
                <w:sz w:val="32"/>
                <w:szCs w:val="32"/>
                <w:lang w:val="en-US" w:eastAsia="zh-CN"/>
              </w:rPr>
              <w:t>2017年中央补助公益性水利工程维修养护项目进行了绩效自评，项目绩效综合评价得分94分，绩效评价综合等级为优。</w:t>
            </w:r>
          </w:p>
          <w:p>
            <w:pPr>
              <w:widowControl/>
              <w:numPr>
                <w:ilvl w:val="0"/>
                <w:numId w:val="0"/>
              </w:numPr>
              <w:spacing w:line="420" w:lineRule="atLeast"/>
              <w:ind w:firstLine="640" w:firstLineChars="200"/>
              <w:jc w:val="left"/>
              <w:rPr>
                <w:rFonts w:hint="eastAsia" w:ascii="黑体" w:hAnsi="黑体" w:eastAsia="黑体" w:cs="宋体"/>
                <w:color w:val="484747"/>
                <w:sz w:val="32"/>
                <w:szCs w:val="32"/>
                <w:lang w:val="en-US" w:eastAsia="zh-CN"/>
              </w:rPr>
            </w:pPr>
            <w:r>
              <w:rPr>
                <w:rFonts w:hint="eastAsia" w:ascii="黑体" w:hAnsi="黑体" w:eastAsia="黑体" w:cs="宋体"/>
                <w:color w:val="484747"/>
                <w:sz w:val="32"/>
                <w:szCs w:val="32"/>
                <w:lang w:val="en-US" w:eastAsia="zh-CN"/>
              </w:rPr>
              <w:t>七、其他重要事项的说明</w:t>
            </w:r>
          </w:p>
          <w:p>
            <w:pPr>
              <w:widowControl/>
              <w:numPr>
                <w:ilvl w:val="0"/>
                <w:numId w:val="0"/>
              </w:numPr>
              <w:spacing w:line="420" w:lineRule="atLeast"/>
              <w:ind w:firstLine="640" w:firstLineChars="200"/>
              <w:jc w:val="left"/>
              <w:rPr>
                <w:rFonts w:hint="eastAsia" w:ascii="黑体" w:hAnsi="黑体" w:eastAsia="黑体" w:cs="宋体"/>
                <w:color w:val="484747"/>
                <w:sz w:val="32"/>
                <w:szCs w:val="32"/>
                <w:lang w:val="en-US" w:eastAsia="zh-CN"/>
              </w:rPr>
            </w:pPr>
            <w:r>
              <w:rPr>
                <w:rFonts w:hint="eastAsia" w:ascii="黑体" w:hAnsi="黑体" w:eastAsia="黑体" w:cs="宋体"/>
                <w:color w:val="484747"/>
                <w:sz w:val="32"/>
                <w:szCs w:val="32"/>
                <w:lang w:val="en-US" w:eastAsia="zh-CN"/>
              </w:rPr>
              <w:t>（一）机关运行经费情况</w:t>
            </w:r>
          </w:p>
          <w:p>
            <w:pPr>
              <w:adjustRightInd w:val="0"/>
              <w:snapToGrid w:val="0"/>
              <w:spacing w:line="584" w:lineRule="exact"/>
              <w:ind w:firstLine="640" w:firstLineChars="200"/>
              <w:jc w:val="both"/>
              <w:rPr>
                <w:rFonts w:hint="eastAsia" w:eastAsiaTheme="minorEastAsia"/>
                <w:lang w:val="en-US" w:eastAsia="zh-CN"/>
              </w:rPr>
            </w:pPr>
            <w:r>
              <w:rPr>
                <w:rFonts w:hint="eastAsia" w:ascii="仿宋_GB2312" w:hAnsi="Calibri" w:eastAsia="仿宋_GB2312" w:cs="宋体"/>
                <w:b w:val="0"/>
                <w:bCs w:val="0"/>
                <w:color w:val="484747"/>
                <w:kern w:val="2"/>
                <w:sz w:val="32"/>
                <w:szCs w:val="32"/>
                <w:lang w:val="en-US" w:eastAsia="zh-CN" w:bidi="ar-SA"/>
              </w:rPr>
              <w:t>2017年本部门机关运行经费支出59.02万元，比2016年度决算减少2.08万元，降低3.4%。主要原因是落实中央八项规定，厉行节约。</w:t>
            </w:r>
          </w:p>
          <w:p>
            <w:pPr>
              <w:widowControl/>
              <w:numPr>
                <w:ilvl w:val="0"/>
                <w:numId w:val="0"/>
              </w:numPr>
              <w:spacing w:line="420" w:lineRule="atLeast"/>
              <w:ind w:firstLine="640" w:firstLineChars="200"/>
              <w:jc w:val="left"/>
              <w:rPr>
                <w:rFonts w:hint="eastAsia" w:ascii="黑体" w:hAnsi="黑体" w:eastAsia="黑体" w:cs="宋体"/>
                <w:color w:val="484747"/>
                <w:sz w:val="32"/>
                <w:szCs w:val="32"/>
                <w:lang w:val="en-US" w:eastAsia="zh-CN"/>
              </w:rPr>
            </w:pPr>
            <w:r>
              <w:rPr>
                <w:rFonts w:hint="eastAsia" w:ascii="黑体" w:hAnsi="黑体" w:eastAsia="黑体" w:cs="宋体"/>
                <w:color w:val="484747"/>
                <w:sz w:val="32"/>
                <w:szCs w:val="32"/>
                <w:lang w:val="en-US" w:eastAsia="zh-CN"/>
              </w:rPr>
              <w:t>（二）政府采购情况</w:t>
            </w:r>
          </w:p>
          <w:p>
            <w:pPr>
              <w:adjustRightInd w:val="0"/>
              <w:snapToGrid w:val="0"/>
              <w:spacing w:line="584" w:lineRule="exact"/>
              <w:ind w:firstLine="640" w:firstLineChars="200"/>
              <w:jc w:val="both"/>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本部门2017年度政府采购支出总额2029.09万元，其中：政府采购货物支出1106.71万元、政府采购工程支出795.23万元，政府采购服务支出127.15万元。</w:t>
            </w:r>
          </w:p>
          <w:p>
            <w:pPr>
              <w:widowControl/>
              <w:numPr>
                <w:ilvl w:val="0"/>
                <w:numId w:val="0"/>
              </w:numPr>
              <w:spacing w:line="420" w:lineRule="atLeast"/>
              <w:ind w:firstLine="640" w:firstLineChars="200"/>
              <w:jc w:val="left"/>
              <w:rPr>
                <w:rFonts w:hint="eastAsia" w:ascii="黑体" w:hAnsi="黑体" w:eastAsia="黑体" w:cs="宋体"/>
                <w:color w:val="484747"/>
                <w:sz w:val="32"/>
                <w:szCs w:val="32"/>
                <w:lang w:val="en-US" w:eastAsia="zh-CN"/>
              </w:rPr>
            </w:pPr>
            <w:r>
              <w:rPr>
                <w:rFonts w:hint="eastAsia" w:ascii="黑体" w:hAnsi="黑体" w:eastAsia="黑体" w:cs="宋体"/>
                <w:color w:val="484747"/>
                <w:sz w:val="32"/>
                <w:szCs w:val="32"/>
                <w:lang w:val="en-US" w:eastAsia="zh-CN"/>
              </w:rPr>
              <w:t>（三）国有资产占用情况</w:t>
            </w:r>
          </w:p>
          <w:p>
            <w:pPr>
              <w:adjustRightInd w:val="0"/>
              <w:snapToGrid w:val="0"/>
              <w:spacing w:line="584" w:lineRule="exact"/>
              <w:ind w:firstLine="640" w:firstLineChars="200"/>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 xml:space="preserve">本部门国有资产占有总体情况是：2017 年资产总额 2890.22万元，分布构成是：房屋 10259平方米，价值 813.50万元，与上年比较，2017 年无变化；车辆 3 辆，其中，一般公务用车1 辆、执法执勤车辆 2 辆、价值 25.33万元，与上年比较2017 年无变化；单价50 万元以上的通用设备 0 台；单价 100 万元以上的通用设备 0 台；其他固定资产 280.10 万元，与上年比较，2017 年减少8.28 万元，主要原因是：报废扬水站老旧设备 。 </w:t>
            </w:r>
          </w:p>
          <w:p>
            <w:pPr>
              <w:widowControl/>
              <w:numPr>
                <w:ilvl w:val="0"/>
                <w:numId w:val="0"/>
              </w:numPr>
              <w:spacing w:line="420" w:lineRule="atLeast"/>
              <w:ind w:firstLine="640" w:firstLineChars="200"/>
              <w:jc w:val="left"/>
              <w:rPr>
                <w:rFonts w:hint="eastAsia" w:ascii="黑体" w:hAnsi="黑体" w:eastAsia="黑体" w:cs="宋体"/>
                <w:color w:val="484747"/>
                <w:sz w:val="32"/>
                <w:szCs w:val="32"/>
                <w:lang w:val="en-US" w:eastAsia="zh-CN"/>
              </w:rPr>
            </w:pPr>
            <w:r>
              <w:rPr>
                <w:rFonts w:hint="eastAsia" w:ascii="黑体" w:hAnsi="黑体" w:eastAsia="黑体" w:cs="宋体"/>
                <w:color w:val="484747"/>
                <w:sz w:val="32"/>
                <w:szCs w:val="32"/>
                <w:lang w:val="en-US" w:eastAsia="zh-CN"/>
              </w:rPr>
              <w:t>（四）其他需要说明的情况</w:t>
            </w:r>
          </w:p>
          <w:p>
            <w:pPr>
              <w:adjustRightInd w:val="0"/>
              <w:snapToGrid w:val="0"/>
              <w:spacing w:line="584" w:lineRule="exact"/>
              <w:ind w:firstLine="640" w:firstLineChars="200"/>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1、本部门2017年度国有资本经营预算财政拨款无收支及结转结余情况，故国有资本经营预算财政拨款收入支出决算表以空</w:t>
            </w:r>
            <w:bookmarkStart w:id="0" w:name="_GoBack"/>
            <w:bookmarkEnd w:id="0"/>
            <w:r>
              <w:rPr>
                <w:rFonts w:hint="eastAsia" w:ascii="仿宋_GB2312" w:hAnsi="宋体" w:eastAsia="仿宋_GB2312" w:cs="宋体"/>
                <w:color w:val="484747"/>
                <w:kern w:val="0"/>
                <w:sz w:val="32"/>
                <w:szCs w:val="32"/>
                <w:lang w:val="en-US" w:eastAsia="zh-CN"/>
              </w:rPr>
              <w:t>表列示。</w:t>
            </w:r>
          </w:p>
          <w:p>
            <w:pPr>
              <w:adjustRightInd w:val="0"/>
              <w:snapToGrid w:val="0"/>
              <w:spacing w:line="584" w:lineRule="exact"/>
              <w:ind w:firstLine="640" w:firstLineChars="200"/>
              <w:rPr>
                <w:rFonts w:hint="eastAsia" w:ascii="黑体" w:hAnsi="黑体" w:eastAsia="黑体" w:cs="宋体"/>
                <w:color w:val="484747"/>
                <w:sz w:val="32"/>
                <w:szCs w:val="32"/>
              </w:rPr>
            </w:pPr>
            <w:r>
              <w:rPr>
                <w:rFonts w:hint="eastAsia" w:ascii="仿宋_GB2312" w:hAnsi="宋体" w:eastAsia="仿宋_GB2312" w:cs="宋体"/>
                <w:color w:val="484747"/>
                <w:kern w:val="0"/>
                <w:sz w:val="32"/>
                <w:szCs w:val="32"/>
                <w:lang w:val="en-US" w:eastAsia="zh-CN"/>
              </w:rPr>
              <w:t>2、由于决算公开表格中金额数值应当保留两位小数，公开数据为四舍五入计算结果，个别数据合计项与分项之和存在小数点后差额，特此说明。</w:t>
            </w:r>
          </w:p>
          <w:p>
            <w:pPr>
              <w:widowControl/>
              <w:numPr>
                <w:ilvl w:val="0"/>
                <w:numId w:val="0"/>
              </w:numPr>
              <w:spacing w:line="420" w:lineRule="atLeast"/>
              <w:ind w:firstLine="640" w:firstLineChars="200"/>
              <w:jc w:val="left"/>
              <w:rPr>
                <w:rFonts w:hint="eastAsia" w:ascii="黑体" w:hAnsi="黑体" w:eastAsia="黑体" w:cs="宋体"/>
                <w:color w:val="484747"/>
                <w:sz w:val="32"/>
                <w:szCs w:val="32"/>
              </w:rPr>
            </w:pPr>
            <w:r>
              <w:rPr>
                <w:rFonts w:hint="eastAsia" w:ascii="黑体" w:hAnsi="黑体" w:eastAsia="黑体" w:cs="宋体"/>
                <w:color w:val="484747"/>
                <w:sz w:val="32"/>
                <w:szCs w:val="32"/>
                <w:lang w:eastAsia="zh-CN"/>
              </w:rPr>
              <w:t>第四部分</w:t>
            </w:r>
            <w:r>
              <w:rPr>
                <w:rFonts w:hint="eastAsia" w:ascii="黑体" w:hAnsi="黑体" w:eastAsia="黑体" w:cs="宋体"/>
                <w:color w:val="484747"/>
                <w:sz w:val="32"/>
                <w:szCs w:val="32"/>
                <w:lang w:val="en-US" w:eastAsia="zh-CN"/>
              </w:rPr>
              <w:t xml:space="preserve">  </w:t>
            </w:r>
            <w:r>
              <w:rPr>
                <w:rFonts w:hint="eastAsia" w:ascii="黑体" w:hAnsi="黑体" w:eastAsia="黑体" w:cs="宋体"/>
                <w:color w:val="484747"/>
                <w:sz w:val="32"/>
                <w:szCs w:val="32"/>
              </w:rPr>
              <w:t>名词解释</w:t>
            </w:r>
          </w:p>
          <w:p>
            <w:pPr>
              <w:adjustRightInd w:val="0"/>
              <w:snapToGrid w:val="0"/>
              <w:spacing w:line="584" w:lineRule="exact"/>
              <w:ind w:firstLine="640" w:firstLineChars="200"/>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（一）财政拨款收入：本年度从本级财政部门取得的财政拨款，包括一般公共预算财政拨款和政府性基金预算财政拨款。</w:t>
            </w:r>
          </w:p>
          <w:p>
            <w:pPr>
              <w:adjustRightInd w:val="0"/>
              <w:snapToGrid w:val="0"/>
              <w:spacing w:line="584" w:lineRule="exact"/>
              <w:ind w:firstLine="640" w:firstLineChars="200"/>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（二）事业收入：指事业单位开展专业业务活动及辅助活动所取得的收入。</w:t>
            </w:r>
          </w:p>
          <w:p>
            <w:pPr>
              <w:adjustRightInd w:val="0"/>
              <w:snapToGrid w:val="0"/>
              <w:spacing w:line="584" w:lineRule="exact"/>
              <w:ind w:firstLine="640" w:firstLineChars="200"/>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（三）其他收入：指除上述“财政拨款收入”、“事业收入”、“经营收入”等以外的收入。</w:t>
            </w:r>
          </w:p>
          <w:p>
            <w:pPr>
              <w:adjustRightInd w:val="0"/>
              <w:snapToGrid w:val="0"/>
              <w:spacing w:line="584" w:lineRule="exact"/>
              <w:ind w:firstLine="640" w:firstLineChars="200"/>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adjustRightInd w:val="0"/>
              <w:snapToGrid w:val="0"/>
              <w:spacing w:line="584" w:lineRule="exact"/>
              <w:ind w:firstLine="640" w:firstLineChars="200"/>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（五）年初结转和结余：指以前年度尚未完成、结转到本年仍按原规定用途继续使用的资金，或项目已完成等产生的结余资金。</w:t>
            </w:r>
          </w:p>
          <w:p>
            <w:pPr>
              <w:adjustRightInd w:val="0"/>
              <w:snapToGrid w:val="0"/>
              <w:spacing w:line="584" w:lineRule="exact"/>
              <w:ind w:firstLine="640" w:firstLineChars="200"/>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（六）结余分配：指事业单位按照事业单位会计制度的规定从非财政补助结余中分配的事业基金和职工福利基金等。</w:t>
            </w:r>
          </w:p>
          <w:p>
            <w:pPr>
              <w:adjustRightInd w:val="0"/>
              <w:snapToGrid w:val="0"/>
              <w:spacing w:line="584" w:lineRule="exact"/>
              <w:ind w:firstLine="640" w:firstLineChars="200"/>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（七）年末结转和结余：指单位按有关规定结转到下年或以后年度继续使用的资金，或项目已完成等产生的结余资金。</w:t>
            </w:r>
          </w:p>
          <w:p>
            <w:pPr>
              <w:adjustRightInd w:val="0"/>
              <w:snapToGrid w:val="0"/>
              <w:spacing w:line="584" w:lineRule="exact"/>
              <w:ind w:firstLine="640" w:firstLineChars="200"/>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（八）基本支出：填列单位为保障机构正常运转、完成日常工作任务而发生的各项支出。</w:t>
            </w:r>
          </w:p>
          <w:p>
            <w:pPr>
              <w:adjustRightInd w:val="0"/>
              <w:snapToGrid w:val="0"/>
              <w:spacing w:line="584" w:lineRule="exact"/>
              <w:ind w:firstLine="640" w:firstLineChars="200"/>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（九）项目支出：填列单位为完成特定的行政工作任务或事业发展目标，在基本支出之外发生的各项支出</w:t>
            </w:r>
          </w:p>
          <w:p>
            <w:pPr>
              <w:adjustRightInd w:val="0"/>
              <w:snapToGrid w:val="0"/>
              <w:spacing w:line="584" w:lineRule="exact"/>
              <w:ind w:firstLine="640" w:firstLineChars="200"/>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adjustRightInd w:val="0"/>
              <w:snapToGrid w:val="0"/>
              <w:spacing w:line="584" w:lineRule="exact"/>
              <w:ind w:firstLine="640" w:firstLineChars="200"/>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（十一）其他资本性支出：填列由各级非发展与改革部门集中安排的用于购置固定资产、战备性和应急性储备、土地和无形资产，以及购建基础设施、大型修缮和财政支持企业更新改造所发生的支出。</w:t>
            </w:r>
          </w:p>
          <w:p>
            <w:pPr>
              <w:adjustRightInd w:val="0"/>
              <w:snapToGrid w:val="0"/>
              <w:spacing w:line="584" w:lineRule="exact"/>
              <w:ind w:firstLine="640" w:firstLineChars="200"/>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adjustRightInd w:val="0"/>
              <w:snapToGrid w:val="0"/>
              <w:spacing w:line="584" w:lineRule="exact"/>
              <w:ind w:firstLine="640" w:firstLineChars="200"/>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（十三）其他交通费用：填列单位除公务用车运行维护费以外的其他交通费用。如飞机、船舶等的燃料费、维修费、过桥过路费、保险费、出租车费用、公务交通补贴等。</w:t>
            </w:r>
          </w:p>
          <w:p>
            <w:pPr>
              <w:adjustRightInd w:val="0"/>
              <w:snapToGrid w:val="0"/>
              <w:spacing w:line="584" w:lineRule="exact"/>
              <w:ind w:firstLine="640" w:firstLineChars="200"/>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（十四）公务用车购置：填列单位公务用车车辆购置支出（含车辆购置税）。</w:t>
            </w:r>
          </w:p>
          <w:p>
            <w:pPr>
              <w:adjustRightInd w:val="0"/>
              <w:snapToGrid w:val="0"/>
              <w:spacing w:line="584" w:lineRule="exact"/>
              <w:ind w:firstLine="640" w:firstLineChars="200"/>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（十五）其他交通工具购置：填列单位除公务用车外的其他各类交通工具（如船舶、飞机）购置支出（含车辆购置税）。</w:t>
            </w:r>
          </w:p>
          <w:p>
            <w:pPr>
              <w:adjustRightInd w:val="0"/>
              <w:snapToGrid w:val="0"/>
              <w:spacing w:line="584" w:lineRule="exact"/>
              <w:ind w:firstLine="640" w:firstLineChars="200"/>
              <w:rPr>
                <w:rFonts w:hint="eastAsia" w:ascii="仿宋_GB2312" w:hAnsi="宋体" w:eastAsia="仿宋_GB2312" w:cs="宋体"/>
                <w:color w:val="484747"/>
                <w:kern w:val="0"/>
                <w:sz w:val="32"/>
                <w:szCs w:val="32"/>
                <w:lang w:val="en-US" w:eastAsia="zh-CN"/>
              </w:rPr>
            </w:pPr>
            <w:r>
              <w:rPr>
                <w:rFonts w:hint="eastAsia" w:ascii="仿宋_GB2312" w:hAnsi="宋体" w:eastAsia="仿宋_GB2312" w:cs="宋体"/>
                <w:color w:val="484747"/>
                <w:kern w:val="0"/>
                <w:sz w:val="32"/>
                <w:szCs w:val="32"/>
                <w:lang w:val="en-US" w:eastAsia="zh-CN"/>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adjustRightInd w:val="0"/>
              <w:snapToGrid w:val="0"/>
              <w:spacing w:line="584" w:lineRule="exact"/>
              <w:ind w:firstLine="640" w:firstLineChars="200"/>
              <w:rPr>
                <w:rFonts w:hint="eastAsia" w:ascii="仿宋_GB2312" w:hAnsi="宋体" w:eastAsia="仿宋_GB2312" w:cs="宋体"/>
                <w:color w:val="484747"/>
                <w:kern w:val="0"/>
                <w:sz w:val="32"/>
                <w:szCs w:val="32"/>
                <w:lang w:val="en-US" w:eastAsia="zh-CN"/>
              </w:rPr>
            </w:pPr>
          </w:p>
          <w:p>
            <w:pPr>
              <w:widowControl/>
              <w:spacing w:line="351" w:lineRule="atLeast"/>
              <w:jc w:val="left"/>
              <w:rPr>
                <w:rFonts w:ascii="宋体" w:hAnsi="宋体" w:eastAsia="宋体" w:cs="宋体"/>
                <w:color w:val="484747"/>
                <w:kern w:val="0"/>
                <w:sz w:val="24"/>
                <w:szCs w:val="24"/>
              </w:rPr>
            </w:pP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9908B3"/>
    <w:multiLevelType w:val="singleLevel"/>
    <w:tmpl w:val="CF9908B3"/>
    <w:lvl w:ilvl="0" w:tentative="0">
      <w:start w:val="2"/>
      <w:numFmt w:val="chineseCounting"/>
      <w:suff w:val="nothing"/>
      <w:lvlText w:val="%1、"/>
      <w:lvlJc w:val="left"/>
      <w:rPr>
        <w:rFonts w:hint="eastAsia"/>
      </w:rPr>
    </w:lvl>
  </w:abstractNum>
  <w:abstractNum w:abstractNumId="1">
    <w:nsid w:val="06D14947"/>
    <w:multiLevelType w:val="singleLevel"/>
    <w:tmpl w:val="06D14947"/>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0A"/>
    <w:rsid w:val="00301C52"/>
    <w:rsid w:val="00C6460A"/>
    <w:rsid w:val="00D4571F"/>
    <w:rsid w:val="01123C0F"/>
    <w:rsid w:val="01A22A2F"/>
    <w:rsid w:val="02750425"/>
    <w:rsid w:val="035034F3"/>
    <w:rsid w:val="03B12056"/>
    <w:rsid w:val="046E574A"/>
    <w:rsid w:val="051A246A"/>
    <w:rsid w:val="05214C8F"/>
    <w:rsid w:val="060F3E85"/>
    <w:rsid w:val="06A46B58"/>
    <w:rsid w:val="06AD529E"/>
    <w:rsid w:val="073F2AB8"/>
    <w:rsid w:val="076B5F29"/>
    <w:rsid w:val="089A7169"/>
    <w:rsid w:val="0B1F2EF3"/>
    <w:rsid w:val="0BE67BF2"/>
    <w:rsid w:val="0C523F70"/>
    <w:rsid w:val="0C7C2312"/>
    <w:rsid w:val="0E2C385F"/>
    <w:rsid w:val="0E605947"/>
    <w:rsid w:val="0E810A89"/>
    <w:rsid w:val="0F140D79"/>
    <w:rsid w:val="0F4E1B84"/>
    <w:rsid w:val="0FF64893"/>
    <w:rsid w:val="10033D15"/>
    <w:rsid w:val="117E1199"/>
    <w:rsid w:val="127856AD"/>
    <w:rsid w:val="14560C53"/>
    <w:rsid w:val="149E320E"/>
    <w:rsid w:val="15F84C4A"/>
    <w:rsid w:val="162158B3"/>
    <w:rsid w:val="169862DC"/>
    <w:rsid w:val="16D302D0"/>
    <w:rsid w:val="1A7F37E8"/>
    <w:rsid w:val="1B3D6DF4"/>
    <w:rsid w:val="1C880DA3"/>
    <w:rsid w:val="1DAA4DF5"/>
    <w:rsid w:val="1DE82CFC"/>
    <w:rsid w:val="1E216F45"/>
    <w:rsid w:val="22314A48"/>
    <w:rsid w:val="2240356E"/>
    <w:rsid w:val="225715EC"/>
    <w:rsid w:val="235F25EC"/>
    <w:rsid w:val="25093EBF"/>
    <w:rsid w:val="254C226A"/>
    <w:rsid w:val="27935A5A"/>
    <w:rsid w:val="288F03BA"/>
    <w:rsid w:val="28967505"/>
    <w:rsid w:val="28B80908"/>
    <w:rsid w:val="28BC2A83"/>
    <w:rsid w:val="2CDE5422"/>
    <w:rsid w:val="2DAD6F6E"/>
    <w:rsid w:val="2EA7179E"/>
    <w:rsid w:val="30524209"/>
    <w:rsid w:val="30A15D90"/>
    <w:rsid w:val="31401403"/>
    <w:rsid w:val="32DA5112"/>
    <w:rsid w:val="33AE61C1"/>
    <w:rsid w:val="34386ED7"/>
    <w:rsid w:val="34A05B37"/>
    <w:rsid w:val="34FD03FA"/>
    <w:rsid w:val="36C41AE6"/>
    <w:rsid w:val="395E5FB8"/>
    <w:rsid w:val="398A66B4"/>
    <w:rsid w:val="3AF12024"/>
    <w:rsid w:val="3B533A5A"/>
    <w:rsid w:val="3DD211E9"/>
    <w:rsid w:val="3ED2015C"/>
    <w:rsid w:val="3F0957D8"/>
    <w:rsid w:val="3F9423F3"/>
    <w:rsid w:val="3FB47F71"/>
    <w:rsid w:val="40C301F9"/>
    <w:rsid w:val="418E28AF"/>
    <w:rsid w:val="41D80372"/>
    <w:rsid w:val="41F92DDB"/>
    <w:rsid w:val="42591361"/>
    <w:rsid w:val="4378555A"/>
    <w:rsid w:val="43FC135C"/>
    <w:rsid w:val="457C3DC6"/>
    <w:rsid w:val="45D57B14"/>
    <w:rsid w:val="47B356DC"/>
    <w:rsid w:val="498D7098"/>
    <w:rsid w:val="49AE6136"/>
    <w:rsid w:val="49F13D83"/>
    <w:rsid w:val="4A2507A3"/>
    <w:rsid w:val="4C4205AE"/>
    <w:rsid w:val="4D497155"/>
    <w:rsid w:val="4D7444CF"/>
    <w:rsid w:val="4E6B35DE"/>
    <w:rsid w:val="4F280E4D"/>
    <w:rsid w:val="51281278"/>
    <w:rsid w:val="5192493F"/>
    <w:rsid w:val="523D6068"/>
    <w:rsid w:val="52F14649"/>
    <w:rsid w:val="536010DC"/>
    <w:rsid w:val="57914E62"/>
    <w:rsid w:val="59492820"/>
    <w:rsid w:val="5ACF4972"/>
    <w:rsid w:val="5B9E2463"/>
    <w:rsid w:val="5BC832D0"/>
    <w:rsid w:val="5C3378CE"/>
    <w:rsid w:val="5C8D41D0"/>
    <w:rsid w:val="5D5C69FF"/>
    <w:rsid w:val="5D811322"/>
    <w:rsid w:val="5DD2406E"/>
    <w:rsid w:val="5F636C9C"/>
    <w:rsid w:val="5F692708"/>
    <w:rsid w:val="5FD75627"/>
    <w:rsid w:val="5FEE7CF6"/>
    <w:rsid w:val="60B50CD9"/>
    <w:rsid w:val="61003048"/>
    <w:rsid w:val="62A44891"/>
    <w:rsid w:val="631D090E"/>
    <w:rsid w:val="6477756E"/>
    <w:rsid w:val="64CF1CAC"/>
    <w:rsid w:val="6510203F"/>
    <w:rsid w:val="663D62C1"/>
    <w:rsid w:val="669D3865"/>
    <w:rsid w:val="67391FA0"/>
    <w:rsid w:val="67500308"/>
    <w:rsid w:val="68842544"/>
    <w:rsid w:val="69061016"/>
    <w:rsid w:val="690B5628"/>
    <w:rsid w:val="69895FA7"/>
    <w:rsid w:val="69C13DFC"/>
    <w:rsid w:val="69F74C54"/>
    <w:rsid w:val="6A0F5BB0"/>
    <w:rsid w:val="6A550C4D"/>
    <w:rsid w:val="6AA07CF6"/>
    <w:rsid w:val="6D34244B"/>
    <w:rsid w:val="6D5D49D5"/>
    <w:rsid w:val="6D7077DC"/>
    <w:rsid w:val="6E3D6BF8"/>
    <w:rsid w:val="6E420601"/>
    <w:rsid w:val="6F786236"/>
    <w:rsid w:val="705A478D"/>
    <w:rsid w:val="70E04829"/>
    <w:rsid w:val="720F2C8D"/>
    <w:rsid w:val="72176B4D"/>
    <w:rsid w:val="72C4673E"/>
    <w:rsid w:val="74437283"/>
    <w:rsid w:val="749C0137"/>
    <w:rsid w:val="75115719"/>
    <w:rsid w:val="75461064"/>
    <w:rsid w:val="77180ED3"/>
    <w:rsid w:val="775F4003"/>
    <w:rsid w:val="7793415D"/>
    <w:rsid w:val="78AD4025"/>
    <w:rsid w:val="798B325D"/>
    <w:rsid w:val="7A2826D8"/>
    <w:rsid w:val="7B770BB2"/>
    <w:rsid w:val="7C27683E"/>
    <w:rsid w:val="7C965DC8"/>
    <w:rsid w:val="7CD36A9E"/>
    <w:rsid w:val="7D425EB8"/>
    <w:rsid w:val="7DA54C85"/>
    <w:rsid w:val="7DF26E2D"/>
    <w:rsid w:val="7E537090"/>
    <w:rsid w:val="7F302AE4"/>
    <w:rsid w:val="7F4F4BD6"/>
    <w:rsid w:val="7FB43B30"/>
    <w:rsid w:val="7FC25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5248</Words>
  <Characters>5861</Characters>
  <Lines>33</Lines>
  <Paragraphs>9</Paragraphs>
  <TotalTime>1</TotalTime>
  <ScaleCrop>false</ScaleCrop>
  <LinksUpToDate>false</LinksUpToDate>
  <CharactersWithSpaces>5872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2018-08-30T06:31:00Z</dcterms:created>
  <dc:creator>Administrator</dc:creator>
  <cp:lastModifiedBy>Administrator</cp:lastModifiedBy>
  <cp:lastPrinted>2018-11-08T01:42:00Z</cp:lastPrinted>
  <dcterms:modified xsi:type="dcterms:W3CDTF">2019-02-28T03:36:16Z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