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74"/>
          <w:highlight w:val="none"/>
        </w:rPr>
      </w:pPr>
      <w:bookmarkStart w:id="4" w:name="_GoBack"/>
      <w:bookmarkEnd w:id="4"/>
    </w:p>
    <w:p>
      <w:pPr>
        <w:jc w:val="center"/>
        <w:rPr>
          <w:b/>
          <w:color w:val="000000"/>
          <w:sz w:val="74"/>
          <w:highlight w:val="none"/>
        </w:rPr>
      </w:pPr>
    </w:p>
    <w:p>
      <w:pPr>
        <w:jc w:val="center"/>
        <w:rPr>
          <w:b/>
          <w:color w:val="000000"/>
          <w:sz w:val="74"/>
          <w:highlight w:val="none"/>
        </w:rPr>
      </w:pPr>
      <w:r>
        <w:rPr>
          <w:b/>
          <w:color w:val="000000"/>
          <w:sz w:val="74"/>
          <w:highlight w:val="none"/>
        </w:rPr>
        <w:t>建设项目环境影响报告表</w:t>
      </w: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color w:val="000000"/>
          <w:sz w:val="36"/>
          <w:highlight w:val="none"/>
          <w:u w:val="single"/>
        </w:rPr>
      </w:pPr>
    </w:p>
    <w:p>
      <w:pPr>
        <w:spacing w:line="360" w:lineRule="auto"/>
        <w:rPr>
          <w:rFonts w:hint="eastAsia"/>
          <w:color w:val="000000"/>
          <w:sz w:val="36"/>
          <w:highlight w:val="none"/>
          <w:u w:val="single"/>
        </w:rPr>
      </w:pPr>
      <w:r>
        <w:rPr>
          <w:rFonts w:hint="eastAsia"/>
          <w:color w:val="000000"/>
          <w:sz w:val="36"/>
          <w:highlight w:val="none"/>
          <w:u w:val="single"/>
        </w:rPr>
        <w:t xml:space="preserve"> </w:t>
      </w:r>
    </w:p>
    <w:p>
      <w:pPr>
        <w:spacing w:line="360" w:lineRule="auto"/>
        <w:jc w:val="center"/>
        <w:rPr>
          <w:b/>
          <w:color w:val="000000"/>
          <w:sz w:val="32"/>
          <w:highlight w:val="none"/>
        </w:rPr>
      </w:pPr>
    </w:p>
    <w:p>
      <w:pPr>
        <w:spacing w:line="360" w:lineRule="auto"/>
        <w:jc w:val="left"/>
        <w:rPr>
          <w:rFonts w:hint="eastAsia"/>
          <w:b/>
          <w:color w:val="000000"/>
          <w:sz w:val="32"/>
          <w:szCs w:val="32"/>
          <w:highlight w:val="none"/>
          <w:u w:val="single"/>
          <w:lang w:val="en-US" w:eastAsia="zh-CN"/>
        </w:rPr>
      </w:pPr>
      <w:r>
        <w:rPr>
          <w:b/>
          <w:color w:val="000000"/>
          <w:sz w:val="32"/>
          <w:szCs w:val="32"/>
          <w:highlight w:val="none"/>
        </w:rPr>
        <w:t>项目名称:</w:t>
      </w:r>
      <w:r>
        <w:rPr>
          <w:rFonts w:hint="eastAsia"/>
          <w:b/>
          <w:color w:val="000000"/>
          <w:sz w:val="32"/>
          <w:szCs w:val="32"/>
          <w:highlight w:val="none"/>
          <w:u w:val="single"/>
          <w:lang w:val="en-US" w:eastAsia="zh-CN"/>
        </w:rPr>
        <w:t xml:space="preserve">      年产20万立方米热固复合        </w:t>
      </w:r>
      <w:r>
        <w:rPr>
          <w:rFonts w:hint="eastAsia"/>
          <w:b/>
          <w:color w:val="FFFFFF"/>
          <w:sz w:val="32"/>
          <w:szCs w:val="32"/>
          <w:highlight w:val="none"/>
          <w:u w:val="single"/>
          <w:lang w:val="en-US" w:eastAsia="zh-CN"/>
        </w:rPr>
        <w:t>1</w:t>
      </w:r>
      <w:r>
        <w:rPr>
          <w:rFonts w:hint="eastAsia"/>
          <w:b/>
          <w:color w:val="000000"/>
          <w:sz w:val="32"/>
          <w:szCs w:val="32"/>
          <w:highlight w:val="none"/>
          <w:u w:val="single"/>
          <w:lang w:val="en-US" w:eastAsia="zh-CN"/>
        </w:rPr>
        <w:t xml:space="preserve">          </w:t>
      </w:r>
    </w:p>
    <w:p>
      <w:pPr>
        <w:spacing w:line="360" w:lineRule="auto"/>
        <w:ind w:firstLine="1285" w:firstLineChars="400"/>
        <w:jc w:val="left"/>
        <w:rPr>
          <w:rFonts w:hint="eastAsia" w:eastAsia="宋体"/>
          <w:b/>
          <w:color w:val="000000"/>
          <w:sz w:val="32"/>
          <w:szCs w:val="32"/>
          <w:highlight w:val="none"/>
          <w:u w:val="single"/>
          <w:lang w:val="en-US" w:eastAsia="zh-CN"/>
        </w:rPr>
      </w:pPr>
      <w:r>
        <w:rPr>
          <w:rFonts w:hint="eastAsia"/>
          <w:b/>
          <w:color w:val="000000"/>
          <w:sz w:val="32"/>
          <w:szCs w:val="32"/>
          <w:highlight w:val="none"/>
          <w:u w:val="single"/>
          <w:lang w:val="en-US" w:eastAsia="zh-CN"/>
        </w:rPr>
        <w:t xml:space="preserve">  </w:t>
      </w:r>
      <w:r>
        <w:rPr>
          <w:rFonts w:hint="eastAsia"/>
          <w:b/>
          <w:color w:val="000000"/>
          <w:sz w:val="32"/>
          <w:szCs w:val="32"/>
          <w:highlight w:val="none"/>
          <w:u w:val="thick"/>
          <w:lang w:val="en-US" w:eastAsia="zh-CN"/>
        </w:rPr>
        <w:t>聚苯乙烯泡沫保温板（聚合聚苯板）项目</w:t>
      </w:r>
      <w:r>
        <w:rPr>
          <w:rFonts w:hint="eastAsia"/>
          <w:b/>
          <w:color w:val="000000"/>
          <w:sz w:val="32"/>
          <w:szCs w:val="32"/>
          <w:highlight w:val="none"/>
          <w:u w:val="single"/>
          <w:lang w:val="en-US" w:eastAsia="zh-CN"/>
        </w:rPr>
        <w:t xml:space="preserve">  </w:t>
      </w:r>
      <w:r>
        <w:rPr>
          <w:rFonts w:hint="eastAsia"/>
          <w:b/>
          <w:color w:val="000000"/>
          <w:sz w:val="32"/>
          <w:szCs w:val="32"/>
          <w:highlight w:val="none"/>
          <w:u w:val="single"/>
        </w:rPr>
        <w:t xml:space="preserve">  </w:t>
      </w:r>
      <w:r>
        <w:rPr>
          <w:rFonts w:hint="eastAsia"/>
          <w:b/>
          <w:color w:val="000000"/>
          <w:sz w:val="32"/>
          <w:szCs w:val="32"/>
          <w:highlight w:val="none"/>
          <w:u w:val="single"/>
          <w:lang w:val="en-US" w:eastAsia="zh-CN"/>
        </w:rPr>
        <w:t xml:space="preserve">    </w:t>
      </w:r>
      <w:r>
        <w:rPr>
          <w:rFonts w:hint="eastAsia"/>
          <w:b/>
          <w:color w:val="000000"/>
          <w:sz w:val="32"/>
          <w:szCs w:val="32"/>
          <w:highlight w:val="none"/>
          <w:u w:val="single"/>
        </w:rPr>
        <w:t xml:space="preserve"> </w:t>
      </w:r>
      <w:r>
        <w:rPr>
          <w:rFonts w:hint="eastAsia"/>
          <w:b/>
          <w:color w:val="000000"/>
          <w:sz w:val="32"/>
          <w:szCs w:val="32"/>
          <w:highlight w:val="none"/>
          <w:u w:val="single"/>
          <w:lang w:val="en-US" w:eastAsia="zh-CN"/>
        </w:rPr>
        <w:t xml:space="preserve">     </w:t>
      </w:r>
    </w:p>
    <w:p>
      <w:pPr>
        <w:spacing w:line="360" w:lineRule="auto"/>
        <w:rPr>
          <w:rFonts w:hint="eastAsia"/>
          <w:b/>
          <w:color w:val="000000"/>
          <w:sz w:val="32"/>
          <w:szCs w:val="32"/>
          <w:highlight w:val="none"/>
          <w:u w:val="thick"/>
        </w:rPr>
      </w:pPr>
      <w:r>
        <w:rPr>
          <w:sz w:val="32"/>
          <w:highlight w:val="none"/>
        </w:rPr>
        <w:pict>
          <v:rect id="_x0000_s2092" o:spid="_x0000_s2092" o:spt="1" style="position:absolute;left:0pt;margin-left:414.6pt;margin-top:5.25pt;height:21pt;width:13.25pt;z-index:251658240;mso-width-relative:page;mso-height-relative:page;" fillcolor="#FFFFFF" filled="t" stroked="t" coordsize="21600,21600">
            <v:path/>
            <v:fill on="t" focussize="0,0"/>
            <v:stroke color="#FFFFFF"/>
            <v:imagedata o:title=""/>
            <o:lock v:ext="edit" aspectratio="f"/>
          </v:rect>
        </w:pict>
      </w:r>
      <w:r>
        <w:rPr>
          <w:b/>
          <w:color w:val="000000"/>
          <w:sz w:val="32"/>
          <w:szCs w:val="32"/>
          <w:highlight w:val="none"/>
        </w:rPr>
        <w:t>建设单位:</w:t>
      </w:r>
      <w:r>
        <w:rPr>
          <w:b/>
          <w:color w:val="000000"/>
          <w:sz w:val="32"/>
          <w:szCs w:val="32"/>
          <w:highlight w:val="none"/>
          <w:u w:val="single"/>
        </w:rPr>
        <w:t xml:space="preserve"> </w:t>
      </w:r>
      <w:r>
        <w:rPr>
          <w:rFonts w:hint="eastAsia"/>
          <w:b/>
          <w:color w:val="000000"/>
          <w:sz w:val="32"/>
          <w:szCs w:val="32"/>
          <w:highlight w:val="none"/>
          <w:u w:val="single"/>
        </w:rPr>
        <w:t xml:space="preserve">      </w:t>
      </w:r>
      <w:r>
        <w:rPr>
          <w:rFonts w:hint="eastAsia"/>
          <w:b/>
          <w:color w:val="000000"/>
          <w:sz w:val="32"/>
          <w:szCs w:val="32"/>
          <w:highlight w:val="none"/>
          <w:u w:val="single"/>
          <w:lang w:eastAsia="zh-CN"/>
        </w:rPr>
        <w:t>廊坊华坤节能科技有限公司</w:t>
      </w:r>
      <w:r>
        <w:rPr>
          <w:rFonts w:hint="eastAsia"/>
          <w:b/>
          <w:color w:val="000000"/>
          <w:sz w:val="32"/>
          <w:szCs w:val="32"/>
          <w:highlight w:val="none"/>
          <w:u w:val="single"/>
        </w:rPr>
        <w:t xml:space="preserve">  </w:t>
      </w:r>
      <w:r>
        <w:rPr>
          <w:rFonts w:hint="eastAsia"/>
          <w:b/>
          <w:color w:val="000000"/>
          <w:sz w:val="32"/>
          <w:szCs w:val="32"/>
          <w:highlight w:val="none"/>
          <w:u w:val="single"/>
          <w:lang w:val="en-US" w:eastAsia="zh-CN"/>
        </w:rPr>
        <w:t xml:space="preserve">    </w:t>
      </w:r>
      <w:r>
        <w:rPr>
          <w:rFonts w:hint="eastAsia"/>
          <w:b/>
          <w:color w:val="000000"/>
          <w:sz w:val="32"/>
          <w:szCs w:val="32"/>
          <w:highlight w:val="none"/>
          <w:u w:val="single"/>
        </w:rPr>
        <w:t xml:space="preserve">  </w:t>
      </w:r>
      <w:r>
        <w:rPr>
          <w:rFonts w:hint="eastAsia"/>
          <w:b/>
          <w:color w:val="FFFFFF"/>
          <w:sz w:val="32"/>
          <w:szCs w:val="32"/>
          <w:highlight w:val="none"/>
          <w:u w:val="single"/>
        </w:rPr>
        <w:t>1</w:t>
      </w:r>
      <w:r>
        <w:rPr>
          <w:b/>
          <w:color w:val="FFFFFF"/>
          <w:sz w:val="32"/>
          <w:szCs w:val="32"/>
          <w:highlight w:val="none"/>
          <w:u w:val="single"/>
        </w:rPr>
        <w:t xml:space="preserve"> </w:t>
      </w:r>
      <w:r>
        <w:rPr>
          <w:rFonts w:hint="eastAsia"/>
          <w:b/>
          <w:color w:val="000000"/>
          <w:sz w:val="32"/>
          <w:szCs w:val="32"/>
          <w:highlight w:val="none"/>
          <w:u w:val="single"/>
        </w:rPr>
        <w:t xml:space="preserve">        </w:t>
      </w:r>
    </w:p>
    <w:p>
      <w:pPr>
        <w:pStyle w:val="9"/>
        <w:rPr>
          <w:highlight w:val="none"/>
        </w:rPr>
      </w:pPr>
    </w:p>
    <w:p>
      <w:pPr>
        <w:spacing w:line="360" w:lineRule="auto"/>
        <w:rPr>
          <w:b/>
          <w:color w:val="000000"/>
          <w:sz w:val="32"/>
          <w:szCs w:val="32"/>
          <w:highlight w:val="none"/>
        </w:rPr>
      </w:pPr>
      <w:r>
        <w:rPr>
          <w:b/>
          <w:color w:val="000000"/>
          <w:sz w:val="32"/>
          <w:szCs w:val="32"/>
          <w:highlight w:val="none"/>
        </w:rPr>
        <w:t xml:space="preserve">    </w:t>
      </w:r>
      <w:r>
        <w:rPr>
          <w:rFonts w:hint="eastAsia"/>
          <w:b/>
          <w:color w:val="000000"/>
          <w:sz w:val="32"/>
          <w:szCs w:val="32"/>
          <w:highlight w:val="none"/>
        </w:rPr>
        <w:t xml:space="preserve"> </w:t>
      </w:r>
    </w:p>
    <w:p>
      <w:pPr>
        <w:spacing w:line="360" w:lineRule="auto"/>
        <w:ind w:firstLine="1928" w:firstLineChars="600"/>
        <w:rPr>
          <w:b/>
          <w:color w:val="000000"/>
          <w:sz w:val="32"/>
          <w:szCs w:val="32"/>
          <w:highlight w:val="none"/>
        </w:rPr>
      </w:pPr>
      <w:r>
        <w:rPr>
          <w:b/>
          <w:color w:val="000000"/>
          <w:sz w:val="32"/>
          <w:szCs w:val="32"/>
          <w:highlight w:val="none"/>
        </w:rPr>
        <w:t xml:space="preserve">  编制日期： 201</w:t>
      </w:r>
      <w:r>
        <w:rPr>
          <w:rFonts w:hint="eastAsia"/>
          <w:b/>
          <w:color w:val="000000"/>
          <w:sz w:val="32"/>
          <w:szCs w:val="32"/>
          <w:highlight w:val="none"/>
          <w:lang w:val="en-US" w:eastAsia="zh-CN"/>
        </w:rPr>
        <w:t>9</w:t>
      </w:r>
      <w:r>
        <w:rPr>
          <w:b/>
          <w:color w:val="000000"/>
          <w:sz w:val="32"/>
          <w:szCs w:val="32"/>
          <w:highlight w:val="none"/>
        </w:rPr>
        <w:t>年</w:t>
      </w:r>
      <w:r>
        <w:rPr>
          <w:rFonts w:hint="eastAsia"/>
          <w:b/>
          <w:color w:val="000000"/>
          <w:sz w:val="32"/>
          <w:szCs w:val="32"/>
          <w:highlight w:val="none"/>
          <w:lang w:val="en-US" w:eastAsia="zh-CN"/>
        </w:rPr>
        <w:t>2</w:t>
      </w:r>
      <w:r>
        <w:rPr>
          <w:b/>
          <w:color w:val="000000"/>
          <w:sz w:val="32"/>
          <w:szCs w:val="32"/>
          <w:highlight w:val="none"/>
        </w:rPr>
        <w:t>月</w:t>
      </w:r>
    </w:p>
    <w:p>
      <w:pPr>
        <w:pStyle w:val="9"/>
        <w:rPr>
          <w:highlight w:val="none"/>
        </w:rPr>
      </w:pPr>
    </w:p>
    <w:p>
      <w:pPr>
        <w:spacing w:line="360" w:lineRule="auto"/>
        <w:jc w:val="center"/>
        <w:rPr>
          <w:b/>
          <w:color w:val="000000"/>
          <w:sz w:val="32"/>
          <w:szCs w:val="32"/>
          <w:highlight w:val="none"/>
        </w:rPr>
      </w:pPr>
    </w:p>
    <w:p>
      <w:pPr>
        <w:spacing w:line="400" w:lineRule="exact"/>
        <w:jc w:val="left"/>
        <w:rPr>
          <w:b/>
          <w:color w:val="000000"/>
          <w:sz w:val="28"/>
          <w:szCs w:val="28"/>
          <w:highlight w:val="none"/>
        </w:rPr>
      </w:pPr>
    </w:p>
    <w:p>
      <w:pPr>
        <w:rPr>
          <w:rFonts w:eastAsia="黑体"/>
          <w:sz w:val="36"/>
          <w:highlight w:val="none"/>
        </w:rPr>
      </w:pPr>
      <w:r>
        <w:rPr>
          <w:rFonts w:eastAsia="黑体"/>
          <w:sz w:val="36"/>
          <w:highlight w:val="none"/>
        </w:rPr>
        <w:t xml:space="preserve">     《建设项目环境影响报告表》编制说明</w:t>
      </w:r>
    </w:p>
    <w:p>
      <w:pPr>
        <w:jc w:val="center"/>
        <w:rPr>
          <w:rFonts w:eastAsia="黑体"/>
          <w:sz w:val="36"/>
          <w:highlight w:val="none"/>
        </w:rPr>
      </w:pPr>
    </w:p>
    <w:p>
      <w:pPr>
        <w:adjustRightInd w:val="0"/>
        <w:snapToGrid w:val="0"/>
        <w:spacing w:line="360" w:lineRule="auto"/>
        <w:ind w:firstLine="560" w:firstLineChars="200"/>
        <w:rPr>
          <w:sz w:val="28"/>
          <w:szCs w:val="28"/>
          <w:highlight w:val="none"/>
        </w:rPr>
      </w:pPr>
      <w:r>
        <w:rPr>
          <w:sz w:val="28"/>
          <w:szCs w:val="28"/>
          <w:highlight w:val="none"/>
        </w:rPr>
        <w:t>《建设项目环境影响报告表》由具有从事环境影响评价工作资质的单位编制。</w:t>
      </w:r>
    </w:p>
    <w:p>
      <w:pPr>
        <w:adjustRightInd w:val="0"/>
        <w:snapToGrid w:val="0"/>
        <w:spacing w:line="360" w:lineRule="auto"/>
        <w:ind w:firstLine="560" w:firstLineChars="200"/>
        <w:rPr>
          <w:sz w:val="28"/>
          <w:szCs w:val="28"/>
          <w:highlight w:val="none"/>
        </w:rPr>
      </w:pPr>
      <w:r>
        <w:rPr>
          <w:sz w:val="28"/>
          <w:szCs w:val="28"/>
          <w:highlight w:val="none"/>
        </w:rPr>
        <w:t>1、项目名称——指项目立项批复时的名称，应不超过30个字（两个英文字段作一个汉字）。</w:t>
      </w:r>
    </w:p>
    <w:p>
      <w:pPr>
        <w:adjustRightInd w:val="0"/>
        <w:snapToGrid w:val="0"/>
        <w:spacing w:line="360" w:lineRule="auto"/>
        <w:ind w:firstLine="560" w:firstLineChars="200"/>
        <w:rPr>
          <w:sz w:val="28"/>
          <w:szCs w:val="28"/>
          <w:highlight w:val="none"/>
        </w:rPr>
      </w:pPr>
      <w:r>
        <w:rPr>
          <w:sz w:val="28"/>
          <w:szCs w:val="28"/>
          <w:highlight w:val="none"/>
        </w:rPr>
        <w:t>2、建设地点——指项目所在地详细地址，公路、铁路应填写起止地点。</w:t>
      </w:r>
    </w:p>
    <w:p>
      <w:pPr>
        <w:adjustRightInd w:val="0"/>
        <w:snapToGrid w:val="0"/>
        <w:spacing w:line="360" w:lineRule="auto"/>
        <w:ind w:firstLine="560" w:firstLineChars="200"/>
        <w:rPr>
          <w:sz w:val="28"/>
          <w:szCs w:val="28"/>
          <w:highlight w:val="none"/>
        </w:rPr>
      </w:pPr>
      <w:r>
        <w:rPr>
          <w:sz w:val="28"/>
          <w:szCs w:val="28"/>
          <w:highlight w:val="none"/>
        </w:rPr>
        <w:t>3、行业类别——按国标填写。</w:t>
      </w:r>
    </w:p>
    <w:p>
      <w:pPr>
        <w:adjustRightInd w:val="0"/>
        <w:snapToGrid w:val="0"/>
        <w:spacing w:line="360" w:lineRule="auto"/>
        <w:ind w:firstLine="560" w:firstLineChars="200"/>
        <w:rPr>
          <w:sz w:val="28"/>
          <w:szCs w:val="28"/>
          <w:highlight w:val="none"/>
        </w:rPr>
      </w:pPr>
      <w:r>
        <w:rPr>
          <w:sz w:val="28"/>
          <w:szCs w:val="28"/>
          <w:highlight w:val="none"/>
        </w:rPr>
        <w:t>4、总投资——指项目投资总额。</w:t>
      </w:r>
    </w:p>
    <w:p>
      <w:pPr>
        <w:adjustRightInd w:val="0"/>
        <w:snapToGrid w:val="0"/>
        <w:spacing w:line="360" w:lineRule="auto"/>
        <w:ind w:firstLine="560" w:firstLineChars="200"/>
        <w:rPr>
          <w:sz w:val="28"/>
          <w:szCs w:val="28"/>
          <w:highlight w:val="none"/>
        </w:rPr>
      </w:pPr>
      <w:r>
        <w:rPr>
          <w:sz w:val="28"/>
          <w:szCs w:val="28"/>
          <w:highlight w:val="none"/>
        </w:rPr>
        <w:t>5、主要环境保护目标——指项目区周围一定范围内集中居民住宅区、学校、医院、保护文物、风景名胜区、水源地和生态敏感点等，应尽可能给出保护目标、性质、规模和距厂界距离等。</w:t>
      </w:r>
    </w:p>
    <w:p>
      <w:pPr>
        <w:adjustRightInd w:val="0"/>
        <w:snapToGrid w:val="0"/>
        <w:spacing w:line="360" w:lineRule="auto"/>
        <w:ind w:firstLine="560" w:firstLineChars="200"/>
        <w:rPr>
          <w:sz w:val="28"/>
          <w:szCs w:val="28"/>
          <w:highlight w:val="none"/>
        </w:rPr>
      </w:pPr>
      <w:r>
        <w:rPr>
          <w:sz w:val="28"/>
          <w:szCs w:val="28"/>
          <w:highlight w:val="none"/>
        </w:rPr>
        <w:t>6、结论与建议——给出本项目清洁生产、达标排放和总量控制的分析结论，确定污染防治措施的有效性，说明本项目对环境造成的影响，给出建议项环境可行性的明确结论。同时提出减少环境影响的其他建议。</w:t>
      </w:r>
    </w:p>
    <w:p>
      <w:pPr>
        <w:ind w:firstLine="560" w:firstLineChars="200"/>
        <w:rPr>
          <w:sz w:val="28"/>
          <w:szCs w:val="28"/>
          <w:highlight w:val="none"/>
        </w:rPr>
      </w:pPr>
      <w:r>
        <w:rPr>
          <w:sz w:val="28"/>
          <w:szCs w:val="28"/>
          <w:highlight w:val="none"/>
        </w:rPr>
        <w:t>7、预审意见——由行业主管部门填写答复意见，无主管部门项目，可不填。</w:t>
      </w:r>
    </w:p>
    <w:p>
      <w:pPr>
        <w:ind w:firstLine="560" w:firstLineChars="200"/>
        <w:rPr>
          <w:sz w:val="28"/>
          <w:szCs w:val="28"/>
          <w:highlight w:val="none"/>
        </w:rPr>
        <w:sectPr>
          <w:footerReference r:id="rId4" w:type="first"/>
          <w:headerReference r:id="rId3" w:type="default"/>
          <w:pgSz w:w="11906" w:h="16838"/>
          <w:pgMar w:top="1440" w:right="1440" w:bottom="1440" w:left="2007" w:header="851" w:footer="992" w:gutter="0"/>
          <w:pgBorders w:offsetFrom="page">
            <w:top w:val="none" w:sz="0" w:space="0"/>
            <w:left w:val="none" w:sz="0" w:space="0"/>
            <w:bottom w:val="none" w:sz="0" w:space="0"/>
            <w:right w:val="none" w:sz="0" w:space="0"/>
          </w:pgBorders>
          <w:cols w:space="720" w:num="1"/>
          <w:docGrid w:type="lines" w:linePitch="312" w:charSpace="0"/>
        </w:sectPr>
      </w:pPr>
      <w:r>
        <w:rPr>
          <w:sz w:val="28"/>
          <w:szCs w:val="28"/>
          <w:highlight w:val="none"/>
        </w:rPr>
        <w:t>8、审批意见——由负责审批该项目的环境保护行政主管部门批复。</w:t>
      </w:r>
    </w:p>
    <w:p>
      <w:pPr>
        <w:outlineLvl w:val="0"/>
        <w:rPr>
          <w:b/>
          <w:bCs/>
          <w:color w:val="000000"/>
          <w:sz w:val="32"/>
          <w:highlight w:val="none"/>
        </w:rPr>
      </w:pPr>
      <w:r>
        <w:rPr>
          <w:b/>
          <w:bCs/>
          <w:color w:val="000000"/>
          <w:sz w:val="32"/>
          <w:highlight w:val="none"/>
        </w:rPr>
        <w:t>建设项目基本情况</w:t>
      </w:r>
    </w:p>
    <w:tbl>
      <w:tblPr>
        <w:tblStyle w:val="37"/>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693"/>
        <w:gridCol w:w="537"/>
        <w:gridCol w:w="498"/>
        <w:gridCol w:w="513"/>
        <w:gridCol w:w="68"/>
        <w:gridCol w:w="1284"/>
        <w:gridCol w:w="151"/>
        <w:gridCol w:w="338"/>
        <w:gridCol w:w="1306"/>
        <w:gridCol w:w="10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1373" w:type="dxa"/>
            <w:noWrap w:val="0"/>
            <w:vAlign w:val="center"/>
          </w:tcPr>
          <w:p>
            <w:pPr>
              <w:spacing w:line="360" w:lineRule="exact"/>
              <w:jc w:val="center"/>
              <w:rPr>
                <w:b/>
                <w:bCs/>
                <w:sz w:val="24"/>
                <w:highlight w:val="none"/>
              </w:rPr>
            </w:pPr>
            <w:r>
              <w:rPr>
                <w:b/>
                <w:bCs/>
                <w:kern w:val="0"/>
                <w:sz w:val="24"/>
                <w:highlight w:val="none"/>
              </w:rPr>
              <w:t>项目名称</w:t>
            </w:r>
          </w:p>
        </w:tc>
        <w:tc>
          <w:tcPr>
            <w:tcW w:w="7851" w:type="dxa"/>
            <w:gridSpan w:val="11"/>
            <w:noWrap w:val="0"/>
            <w:vAlign w:val="center"/>
          </w:tcPr>
          <w:p>
            <w:pPr>
              <w:jc w:val="center"/>
              <w:rPr>
                <w:rFonts w:hint="eastAsia" w:eastAsia="宋体"/>
                <w:bCs/>
                <w:sz w:val="24"/>
                <w:highlight w:val="none"/>
                <w:lang w:eastAsia="zh-CN"/>
              </w:rPr>
            </w:pPr>
            <w:r>
              <w:rPr>
                <w:rFonts w:hint="eastAsia"/>
                <w:bCs/>
                <w:sz w:val="24"/>
                <w:highlight w:val="none"/>
                <w:lang w:eastAsia="zh-CN"/>
              </w:rPr>
              <w:t>年产20万立方米热固复合聚苯乙烯泡沫保温板（聚合聚苯板）项目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373" w:type="dxa"/>
            <w:noWrap w:val="0"/>
            <w:vAlign w:val="center"/>
          </w:tcPr>
          <w:p>
            <w:pPr>
              <w:spacing w:line="360" w:lineRule="exact"/>
              <w:jc w:val="center"/>
              <w:rPr>
                <w:b/>
                <w:bCs/>
                <w:sz w:val="24"/>
                <w:highlight w:val="none"/>
              </w:rPr>
            </w:pPr>
            <w:r>
              <w:rPr>
                <w:b/>
                <w:bCs/>
                <w:kern w:val="0"/>
                <w:sz w:val="24"/>
                <w:highlight w:val="none"/>
              </w:rPr>
              <w:t>建设单位</w:t>
            </w:r>
          </w:p>
        </w:tc>
        <w:tc>
          <w:tcPr>
            <w:tcW w:w="7851" w:type="dxa"/>
            <w:gridSpan w:val="11"/>
            <w:noWrap w:val="0"/>
            <w:vAlign w:val="center"/>
          </w:tcPr>
          <w:p>
            <w:pPr>
              <w:snapToGrid w:val="0"/>
              <w:ind w:firstLine="235" w:firstLineChars="98"/>
              <w:jc w:val="center"/>
              <w:rPr>
                <w:rFonts w:hint="eastAsia" w:eastAsia="宋体"/>
                <w:sz w:val="24"/>
                <w:highlight w:val="none"/>
                <w:lang w:eastAsia="zh-CN"/>
              </w:rPr>
            </w:pPr>
            <w:r>
              <w:rPr>
                <w:rFonts w:hint="eastAsia"/>
                <w:bCs/>
                <w:sz w:val="24"/>
                <w:highlight w:val="none"/>
                <w:lang w:eastAsia="zh-CN"/>
              </w:rPr>
              <w:t>廊坊华坤节能科技有限公司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1373" w:type="dxa"/>
            <w:noWrap w:val="0"/>
            <w:vAlign w:val="center"/>
          </w:tcPr>
          <w:p>
            <w:pPr>
              <w:pStyle w:val="94"/>
              <w:spacing w:line="360" w:lineRule="exact"/>
              <w:jc w:val="center"/>
              <w:rPr>
                <w:b/>
                <w:bCs/>
                <w:highlight w:val="none"/>
              </w:rPr>
            </w:pPr>
            <w:r>
              <w:rPr>
                <w:b/>
                <w:bCs/>
                <w:highlight w:val="none"/>
              </w:rPr>
              <w:t>法人代表</w:t>
            </w:r>
          </w:p>
        </w:tc>
        <w:tc>
          <w:tcPr>
            <w:tcW w:w="3309" w:type="dxa"/>
            <w:gridSpan w:val="5"/>
            <w:noWrap w:val="0"/>
            <w:vAlign w:val="center"/>
          </w:tcPr>
          <w:p>
            <w:pPr>
              <w:spacing w:line="360" w:lineRule="auto"/>
              <w:ind w:firstLine="960" w:firstLineChars="400"/>
              <w:rPr>
                <w:rFonts w:hint="eastAsia" w:eastAsia="宋体"/>
                <w:bCs/>
                <w:sz w:val="24"/>
                <w:highlight w:val="none"/>
                <w:lang w:val="en-US" w:eastAsia="zh-CN"/>
              </w:rPr>
            </w:pPr>
            <w:r>
              <w:rPr>
                <w:rFonts w:hint="eastAsia" w:eastAsia="宋体"/>
                <w:bCs/>
                <w:sz w:val="24"/>
                <w:highlight w:val="none"/>
                <w:lang w:val="en-US" w:eastAsia="zh-CN"/>
              </w:rPr>
              <w:t>任继强</w:t>
            </w:r>
          </w:p>
        </w:tc>
        <w:tc>
          <w:tcPr>
            <w:tcW w:w="1435" w:type="dxa"/>
            <w:gridSpan w:val="2"/>
            <w:noWrap w:val="0"/>
            <w:vAlign w:val="center"/>
          </w:tcPr>
          <w:p>
            <w:pPr>
              <w:spacing w:line="360" w:lineRule="exact"/>
              <w:jc w:val="center"/>
              <w:rPr>
                <w:sz w:val="24"/>
                <w:highlight w:val="none"/>
              </w:rPr>
            </w:pPr>
            <w:r>
              <w:rPr>
                <w:b/>
                <w:bCs/>
                <w:sz w:val="24"/>
                <w:highlight w:val="none"/>
              </w:rPr>
              <w:t>联系人</w:t>
            </w:r>
          </w:p>
        </w:tc>
        <w:tc>
          <w:tcPr>
            <w:tcW w:w="3107" w:type="dxa"/>
            <w:gridSpan w:val="4"/>
            <w:noWrap w:val="0"/>
            <w:vAlign w:val="center"/>
          </w:tcPr>
          <w:p>
            <w:pPr>
              <w:spacing w:line="360" w:lineRule="auto"/>
              <w:ind w:firstLine="960" w:firstLineChars="400"/>
              <w:rPr>
                <w:rFonts w:hint="eastAsia"/>
              </w:rPr>
            </w:pPr>
            <w:r>
              <w:rPr>
                <w:rFonts w:hint="eastAsia"/>
                <w:bCs/>
                <w:sz w:val="24"/>
                <w:highlight w:val="none"/>
                <w:lang w:val="en-US" w:eastAsia="zh-CN"/>
              </w:rPr>
              <w:t>任继强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1373" w:type="dxa"/>
            <w:noWrap w:val="0"/>
            <w:vAlign w:val="center"/>
          </w:tcPr>
          <w:p>
            <w:pPr>
              <w:spacing w:line="360" w:lineRule="exact"/>
              <w:jc w:val="center"/>
              <w:rPr>
                <w:b/>
                <w:bCs/>
                <w:sz w:val="24"/>
                <w:highlight w:val="none"/>
              </w:rPr>
            </w:pPr>
            <w:r>
              <w:rPr>
                <w:b/>
                <w:bCs/>
                <w:sz w:val="24"/>
                <w:highlight w:val="none"/>
              </w:rPr>
              <w:t>通讯地址</w:t>
            </w:r>
          </w:p>
        </w:tc>
        <w:tc>
          <w:tcPr>
            <w:tcW w:w="7851" w:type="dxa"/>
            <w:gridSpan w:val="11"/>
            <w:noWrap w:val="0"/>
            <w:vAlign w:val="center"/>
          </w:tcPr>
          <w:p>
            <w:pPr>
              <w:spacing w:line="360" w:lineRule="exact"/>
              <w:jc w:val="center"/>
              <w:rPr>
                <w:rFonts w:hint="eastAsia" w:eastAsia="宋体"/>
                <w:spacing w:val="-4"/>
                <w:sz w:val="24"/>
                <w:highlight w:val="none"/>
                <w:lang w:eastAsia="zh-CN"/>
              </w:rPr>
            </w:pPr>
            <w:r>
              <w:rPr>
                <w:rFonts w:hint="eastAsia"/>
                <w:spacing w:val="-4"/>
                <w:sz w:val="24"/>
                <w:highlight w:val="none"/>
                <w:lang w:eastAsia="zh-CN"/>
              </w:rPr>
              <w:t>河北省廊坊市大城县里坦镇流源庄村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373" w:type="dxa"/>
            <w:noWrap w:val="0"/>
            <w:vAlign w:val="center"/>
          </w:tcPr>
          <w:p>
            <w:pPr>
              <w:spacing w:line="360" w:lineRule="exact"/>
              <w:jc w:val="center"/>
              <w:rPr>
                <w:b/>
                <w:bCs/>
                <w:sz w:val="24"/>
                <w:highlight w:val="none"/>
              </w:rPr>
            </w:pPr>
            <w:r>
              <w:rPr>
                <w:b/>
                <w:bCs/>
                <w:sz w:val="24"/>
                <w:highlight w:val="none"/>
              </w:rPr>
              <w:t>联系电话</w:t>
            </w:r>
          </w:p>
        </w:tc>
        <w:tc>
          <w:tcPr>
            <w:tcW w:w="2230" w:type="dxa"/>
            <w:gridSpan w:val="2"/>
            <w:noWrap w:val="0"/>
            <w:vAlign w:val="center"/>
          </w:tcPr>
          <w:p>
            <w:pPr>
              <w:pStyle w:val="94"/>
              <w:spacing w:line="360" w:lineRule="exact"/>
              <w:jc w:val="center"/>
              <w:rPr>
                <w:rFonts w:hint="eastAsia" w:eastAsia="宋体"/>
                <w:color w:val="auto"/>
                <w:highlight w:val="none"/>
                <w:lang w:val="en-US" w:eastAsia="zh-CN"/>
              </w:rPr>
            </w:pPr>
            <w:r>
              <w:rPr>
                <w:rFonts w:hint="eastAsia" w:eastAsia="宋体"/>
                <w:color w:val="auto"/>
                <w:highlight w:val="none"/>
                <w:lang w:val="en-US" w:eastAsia="zh-CN"/>
              </w:rPr>
              <w:t>15931468501</w:t>
            </w:r>
          </w:p>
        </w:tc>
        <w:tc>
          <w:tcPr>
            <w:tcW w:w="1079" w:type="dxa"/>
            <w:gridSpan w:val="3"/>
            <w:noWrap w:val="0"/>
            <w:vAlign w:val="center"/>
          </w:tcPr>
          <w:p>
            <w:pPr>
              <w:spacing w:line="360" w:lineRule="exact"/>
              <w:jc w:val="center"/>
              <w:rPr>
                <w:color w:val="auto"/>
                <w:sz w:val="24"/>
                <w:highlight w:val="none"/>
              </w:rPr>
            </w:pPr>
            <w:r>
              <w:rPr>
                <w:b/>
                <w:bCs/>
                <w:color w:val="auto"/>
                <w:sz w:val="24"/>
                <w:highlight w:val="none"/>
              </w:rPr>
              <w:t>传 真</w:t>
            </w:r>
          </w:p>
        </w:tc>
        <w:tc>
          <w:tcPr>
            <w:tcW w:w="1773" w:type="dxa"/>
            <w:gridSpan w:val="3"/>
            <w:noWrap w:val="0"/>
            <w:vAlign w:val="center"/>
          </w:tcPr>
          <w:p>
            <w:pPr>
              <w:spacing w:line="360" w:lineRule="exact"/>
              <w:jc w:val="center"/>
              <w:rPr>
                <w:color w:val="auto"/>
                <w:sz w:val="24"/>
                <w:highlight w:val="none"/>
              </w:rPr>
            </w:pPr>
            <w:r>
              <w:rPr>
                <w:rFonts w:hint="eastAsia"/>
                <w:color w:val="auto"/>
                <w:sz w:val="24"/>
                <w:highlight w:val="none"/>
              </w:rPr>
              <w:t>/</w:t>
            </w:r>
          </w:p>
        </w:tc>
        <w:tc>
          <w:tcPr>
            <w:tcW w:w="1306" w:type="dxa"/>
            <w:noWrap w:val="0"/>
            <w:vAlign w:val="center"/>
          </w:tcPr>
          <w:p>
            <w:pPr>
              <w:spacing w:line="360" w:lineRule="exact"/>
              <w:jc w:val="center"/>
              <w:rPr>
                <w:color w:val="auto"/>
                <w:sz w:val="24"/>
                <w:highlight w:val="none"/>
              </w:rPr>
            </w:pPr>
            <w:r>
              <w:rPr>
                <w:b/>
                <w:bCs/>
                <w:color w:val="auto"/>
                <w:sz w:val="24"/>
                <w:highlight w:val="none"/>
              </w:rPr>
              <w:t>邮政编码</w:t>
            </w:r>
          </w:p>
        </w:tc>
        <w:tc>
          <w:tcPr>
            <w:tcW w:w="1463" w:type="dxa"/>
            <w:gridSpan w:val="2"/>
            <w:noWrap w:val="0"/>
            <w:vAlign w:val="center"/>
          </w:tcPr>
          <w:p>
            <w:pPr>
              <w:spacing w:line="360" w:lineRule="exact"/>
              <w:jc w:val="center"/>
              <w:rPr>
                <w:rFonts w:hint="eastAsia" w:eastAsia="宋体"/>
                <w:color w:val="auto"/>
                <w:sz w:val="24"/>
                <w:highlight w:val="none"/>
                <w:lang w:val="en-US" w:eastAsia="zh-CN"/>
              </w:rPr>
            </w:pPr>
            <w:r>
              <w:rPr>
                <w:rFonts w:hint="eastAsia" w:ascii="Times New Roman" w:hAnsi="Times New Roman" w:eastAsia="宋体" w:cs="Times New Roman"/>
                <w:sz w:val="24"/>
                <w:highlight w:val="none"/>
              </w:rPr>
              <w:t>06</w:t>
            </w:r>
            <w:r>
              <w:rPr>
                <w:rFonts w:hint="eastAsia" w:ascii="Times New Roman" w:hAnsi="Times New Roman" w:eastAsia="宋体" w:cs="Times New Roman"/>
                <w:sz w:val="24"/>
                <w:highlight w:val="none"/>
                <w:lang w:val="en-US" w:eastAsia="zh-CN"/>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373" w:type="dxa"/>
            <w:noWrap w:val="0"/>
            <w:vAlign w:val="center"/>
          </w:tcPr>
          <w:p>
            <w:pPr>
              <w:pStyle w:val="94"/>
              <w:spacing w:line="360" w:lineRule="exact"/>
              <w:jc w:val="center"/>
              <w:rPr>
                <w:b/>
                <w:bCs/>
                <w:highlight w:val="none"/>
              </w:rPr>
            </w:pPr>
            <w:r>
              <w:rPr>
                <w:b/>
                <w:bCs/>
                <w:highlight w:val="none"/>
              </w:rPr>
              <w:t>建设地点</w:t>
            </w:r>
          </w:p>
        </w:tc>
        <w:tc>
          <w:tcPr>
            <w:tcW w:w="7851" w:type="dxa"/>
            <w:gridSpan w:val="11"/>
            <w:noWrap w:val="0"/>
            <w:vAlign w:val="center"/>
          </w:tcPr>
          <w:p>
            <w:pPr>
              <w:spacing w:line="360" w:lineRule="exact"/>
              <w:jc w:val="center"/>
              <w:rPr>
                <w:rFonts w:hint="eastAsia" w:eastAsia="宋体"/>
                <w:sz w:val="24"/>
                <w:highlight w:val="none"/>
                <w:lang w:eastAsia="zh-CN"/>
              </w:rPr>
            </w:pPr>
            <w:r>
              <w:rPr>
                <w:rFonts w:hint="eastAsia"/>
                <w:spacing w:val="-4"/>
                <w:sz w:val="24"/>
                <w:highlight w:val="none"/>
                <w:lang w:eastAsia="zh-CN"/>
              </w:rPr>
              <w:t>河北省廊坊市大城县里坦镇流源庄村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373" w:type="dxa"/>
            <w:noWrap w:val="0"/>
            <w:vAlign w:val="center"/>
          </w:tcPr>
          <w:p>
            <w:pPr>
              <w:spacing w:line="300" w:lineRule="exact"/>
              <w:jc w:val="center"/>
              <w:rPr>
                <w:b/>
                <w:bCs/>
                <w:sz w:val="24"/>
                <w:highlight w:val="none"/>
              </w:rPr>
            </w:pPr>
            <w:r>
              <w:rPr>
                <w:b/>
                <w:bCs/>
                <w:sz w:val="24"/>
                <w:highlight w:val="none"/>
              </w:rPr>
              <w:t>立项审批部门</w:t>
            </w:r>
          </w:p>
        </w:tc>
        <w:tc>
          <w:tcPr>
            <w:tcW w:w="3241" w:type="dxa"/>
            <w:gridSpan w:val="4"/>
            <w:noWrap w:val="0"/>
            <w:vAlign w:val="center"/>
          </w:tcPr>
          <w:p>
            <w:pPr>
              <w:spacing w:line="360" w:lineRule="exact"/>
              <w:jc w:val="center"/>
              <w:rPr>
                <w:rFonts w:hint="eastAsia" w:eastAsia="宋体"/>
                <w:sz w:val="24"/>
                <w:highlight w:val="none"/>
                <w:lang w:val="en-US" w:eastAsia="zh-CN"/>
              </w:rPr>
            </w:pPr>
            <w:r>
              <w:rPr>
                <w:rFonts w:hint="eastAsia"/>
                <w:spacing w:val="-4"/>
                <w:sz w:val="24"/>
                <w:highlight w:val="none"/>
                <w:lang w:eastAsia="zh-CN"/>
              </w:rPr>
              <w:t>大城县发展改革局</w:t>
            </w:r>
          </w:p>
        </w:tc>
        <w:tc>
          <w:tcPr>
            <w:tcW w:w="1352" w:type="dxa"/>
            <w:gridSpan w:val="2"/>
            <w:noWrap w:val="0"/>
            <w:vAlign w:val="center"/>
          </w:tcPr>
          <w:p>
            <w:pPr>
              <w:spacing w:line="360" w:lineRule="exact"/>
              <w:jc w:val="center"/>
              <w:rPr>
                <w:b/>
                <w:bCs/>
                <w:sz w:val="24"/>
                <w:highlight w:val="none"/>
              </w:rPr>
            </w:pPr>
            <w:r>
              <w:rPr>
                <w:b/>
                <w:bCs/>
                <w:sz w:val="24"/>
                <w:highlight w:val="none"/>
              </w:rPr>
              <w:t>批准文号</w:t>
            </w:r>
          </w:p>
        </w:tc>
        <w:tc>
          <w:tcPr>
            <w:tcW w:w="3258" w:type="dxa"/>
            <w:gridSpan w:val="5"/>
            <w:noWrap w:val="0"/>
            <w:vAlign w:val="center"/>
          </w:tcPr>
          <w:p>
            <w:pPr>
              <w:pStyle w:val="57"/>
              <w:adjustRightInd w:val="0"/>
              <w:snapToGrid w:val="0"/>
              <w:spacing w:before="0"/>
              <w:rPr>
                <w:rFonts w:hint="eastAsia"/>
                <w:sz w:val="24"/>
                <w:highlight w:val="none"/>
              </w:rPr>
            </w:pPr>
            <w:r>
              <w:rPr>
                <w:rFonts w:hint="eastAsia"/>
                <w:sz w:val="24"/>
                <w:highlight w:val="none"/>
                <w:lang w:eastAsia="zh-CN"/>
              </w:rPr>
              <w:t>大发改备字【2019】29号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373" w:type="dxa"/>
            <w:noWrap w:val="0"/>
            <w:vAlign w:val="center"/>
          </w:tcPr>
          <w:p>
            <w:pPr>
              <w:spacing w:line="360" w:lineRule="exact"/>
              <w:jc w:val="center"/>
              <w:rPr>
                <w:b/>
                <w:bCs/>
                <w:sz w:val="24"/>
                <w:highlight w:val="none"/>
              </w:rPr>
            </w:pPr>
            <w:r>
              <w:rPr>
                <w:b/>
                <w:bCs/>
                <w:sz w:val="24"/>
                <w:highlight w:val="none"/>
              </w:rPr>
              <w:t>建设性质</w:t>
            </w:r>
          </w:p>
        </w:tc>
        <w:tc>
          <w:tcPr>
            <w:tcW w:w="3241" w:type="dxa"/>
            <w:gridSpan w:val="4"/>
            <w:noWrap w:val="0"/>
            <w:vAlign w:val="center"/>
          </w:tcPr>
          <w:p>
            <w:pPr>
              <w:spacing w:line="360" w:lineRule="exact"/>
              <w:jc w:val="center"/>
              <w:rPr>
                <w:sz w:val="24"/>
                <w:highlight w:val="none"/>
              </w:rPr>
            </w:pPr>
            <w:r>
              <w:rPr>
                <w:sz w:val="24"/>
                <w:highlight w:val="none"/>
              </w:rPr>
              <w:t>新建</w:t>
            </w:r>
          </w:p>
        </w:tc>
        <w:tc>
          <w:tcPr>
            <w:tcW w:w="1352" w:type="dxa"/>
            <w:gridSpan w:val="2"/>
            <w:noWrap w:val="0"/>
            <w:vAlign w:val="center"/>
          </w:tcPr>
          <w:p>
            <w:pPr>
              <w:spacing w:line="360" w:lineRule="exact"/>
              <w:jc w:val="center"/>
              <w:rPr>
                <w:b/>
                <w:bCs/>
                <w:sz w:val="24"/>
                <w:highlight w:val="none"/>
              </w:rPr>
            </w:pPr>
            <w:r>
              <w:rPr>
                <w:b/>
                <w:bCs/>
                <w:sz w:val="24"/>
                <w:highlight w:val="none"/>
              </w:rPr>
              <w:t>行业类别</w:t>
            </w:r>
          </w:p>
          <w:p>
            <w:pPr>
              <w:spacing w:line="360" w:lineRule="exact"/>
              <w:jc w:val="center"/>
              <w:rPr>
                <w:b/>
                <w:bCs/>
                <w:sz w:val="24"/>
                <w:highlight w:val="none"/>
              </w:rPr>
            </w:pPr>
            <w:r>
              <w:rPr>
                <w:b/>
                <w:bCs/>
                <w:sz w:val="24"/>
                <w:highlight w:val="none"/>
              </w:rPr>
              <w:t>及代码</w:t>
            </w:r>
          </w:p>
        </w:tc>
        <w:tc>
          <w:tcPr>
            <w:tcW w:w="3258" w:type="dxa"/>
            <w:gridSpan w:val="5"/>
            <w:noWrap w:val="0"/>
            <w:vAlign w:val="center"/>
          </w:tcPr>
          <w:p>
            <w:pPr>
              <w:pStyle w:val="9"/>
              <w:ind w:firstLine="0" w:firstLineChars="0"/>
              <w:jc w:val="center"/>
              <w:rPr>
                <w:rFonts w:hint="eastAsia" w:eastAsia="宋体"/>
                <w:highlight w:val="none"/>
                <w:lang w:val="en-US" w:eastAsia="zh-CN"/>
              </w:rPr>
            </w:pPr>
            <w:r>
              <w:rPr>
                <w:sz w:val="24"/>
              </w:rPr>
              <w:t>C</w:t>
            </w:r>
            <w:r>
              <w:rPr>
                <w:rFonts w:hint="eastAsia"/>
                <w:sz w:val="24"/>
                <w:lang w:val="en-US" w:eastAsia="zh-CN"/>
              </w:rPr>
              <w:t>2924</w:t>
            </w:r>
            <w:r>
              <w:rPr>
                <w:sz w:val="24"/>
              </w:rPr>
              <w:t xml:space="preserve"> </w:t>
            </w:r>
            <w:r>
              <w:rPr>
                <w:rFonts w:hint="eastAsia"/>
                <w:sz w:val="24"/>
                <w:lang w:eastAsia="zh-CN"/>
              </w:rPr>
              <w:t>泡沫塑料制品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1373" w:type="dxa"/>
            <w:noWrap w:val="0"/>
            <w:vAlign w:val="center"/>
          </w:tcPr>
          <w:p>
            <w:pPr>
              <w:spacing w:line="360" w:lineRule="exact"/>
              <w:jc w:val="center"/>
              <w:rPr>
                <w:b/>
                <w:bCs/>
                <w:sz w:val="24"/>
                <w:highlight w:val="none"/>
              </w:rPr>
            </w:pPr>
            <w:r>
              <w:rPr>
                <w:b/>
                <w:bCs/>
                <w:sz w:val="24"/>
                <w:highlight w:val="none"/>
              </w:rPr>
              <w:t>占地面积</w:t>
            </w:r>
          </w:p>
          <w:p>
            <w:pPr>
              <w:spacing w:line="360" w:lineRule="exact"/>
              <w:jc w:val="center"/>
              <w:rPr>
                <w:b/>
                <w:bCs/>
                <w:sz w:val="24"/>
                <w:highlight w:val="none"/>
              </w:rPr>
            </w:pPr>
            <w:r>
              <w:rPr>
                <w:b/>
                <w:bCs/>
                <w:sz w:val="24"/>
                <w:highlight w:val="none"/>
              </w:rPr>
              <w:t>（平方米）</w:t>
            </w:r>
          </w:p>
        </w:tc>
        <w:tc>
          <w:tcPr>
            <w:tcW w:w="3241" w:type="dxa"/>
            <w:gridSpan w:val="4"/>
            <w:noWrap w:val="0"/>
            <w:vAlign w:val="center"/>
          </w:tcPr>
          <w:p>
            <w:pPr>
              <w:jc w:val="center"/>
              <w:rPr>
                <w:rFonts w:hint="eastAsia" w:eastAsia="宋体"/>
                <w:sz w:val="24"/>
                <w:highlight w:val="none"/>
                <w:lang w:val="en-US" w:eastAsia="zh-CN"/>
              </w:rPr>
            </w:pPr>
            <w:r>
              <w:rPr>
                <w:rFonts w:hint="eastAsia"/>
                <w:sz w:val="24"/>
                <w:highlight w:val="none"/>
                <w:lang w:val="en-US" w:eastAsia="zh-CN"/>
              </w:rPr>
              <w:t>1700</w:t>
            </w:r>
          </w:p>
        </w:tc>
        <w:tc>
          <w:tcPr>
            <w:tcW w:w="1352" w:type="dxa"/>
            <w:gridSpan w:val="2"/>
            <w:noWrap w:val="0"/>
            <w:vAlign w:val="center"/>
          </w:tcPr>
          <w:p>
            <w:pPr>
              <w:spacing w:line="360" w:lineRule="exact"/>
              <w:jc w:val="center"/>
              <w:rPr>
                <w:b/>
                <w:bCs/>
                <w:sz w:val="24"/>
                <w:highlight w:val="none"/>
              </w:rPr>
            </w:pPr>
            <w:r>
              <w:rPr>
                <w:b/>
                <w:bCs/>
                <w:sz w:val="24"/>
                <w:highlight w:val="none"/>
              </w:rPr>
              <w:t>绿化面积</w:t>
            </w:r>
          </w:p>
          <w:p>
            <w:pPr>
              <w:spacing w:line="360" w:lineRule="exact"/>
              <w:jc w:val="center"/>
              <w:rPr>
                <w:b/>
                <w:bCs/>
                <w:sz w:val="24"/>
                <w:highlight w:val="none"/>
              </w:rPr>
            </w:pPr>
            <w:r>
              <w:rPr>
                <w:b/>
                <w:bCs/>
                <w:sz w:val="24"/>
                <w:highlight w:val="none"/>
              </w:rPr>
              <w:t>（平方米）</w:t>
            </w:r>
          </w:p>
        </w:tc>
        <w:tc>
          <w:tcPr>
            <w:tcW w:w="3258" w:type="dxa"/>
            <w:gridSpan w:val="5"/>
            <w:noWrap w:val="0"/>
            <w:vAlign w:val="center"/>
          </w:tcPr>
          <w:p>
            <w:pPr>
              <w:pStyle w:val="94"/>
              <w:jc w:val="center"/>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373" w:type="dxa"/>
            <w:noWrap w:val="0"/>
            <w:vAlign w:val="center"/>
          </w:tcPr>
          <w:p>
            <w:pPr>
              <w:jc w:val="center"/>
              <w:rPr>
                <w:b/>
                <w:bCs/>
                <w:sz w:val="24"/>
                <w:highlight w:val="none"/>
              </w:rPr>
            </w:pPr>
            <w:r>
              <w:rPr>
                <w:b/>
                <w:bCs/>
                <w:sz w:val="24"/>
                <w:highlight w:val="none"/>
              </w:rPr>
              <w:t>总投资</w:t>
            </w:r>
          </w:p>
          <w:p>
            <w:pPr>
              <w:jc w:val="center"/>
              <w:rPr>
                <w:b/>
                <w:bCs/>
                <w:sz w:val="24"/>
                <w:highlight w:val="none"/>
              </w:rPr>
            </w:pPr>
            <w:r>
              <w:rPr>
                <w:b/>
                <w:bCs/>
                <w:sz w:val="24"/>
                <w:highlight w:val="none"/>
              </w:rPr>
              <w:t>（万元）</w:t>
            </w:r>
          </w:p>
        </w:tc>
        <w:tc>
          <w:tcPr>
            <w:tcW w:w="1693" w:type="dxa"/>
            <w:noWrap w:val="0"/>
            <w:vAlign w:val="center"/>
          </w:tcPr>
          <w:p>
            <w:pPr>
              <w:jc w:val="center"/>
              <w:rPr>
                <w:rFonts w:hint="eastAsia" w:eastAsia="宋体"/>
                <w:sz w:val="24"/>
                <w:highlight w:val="none"/>
                <w:lang w:val="en-US" w:eastAsia="zh-CN"/>
              </w:rPr>
            </w:pPr>
            <w:r>
              <w:rPr>
                <w:rFonts w:hint="eastAsia"/>
                <w:sz w:val="24"/>
                <w:highlight w:val="none"/>
                <w:lang w:val="en-US" w:eastAsia="zh-CN"/>
              </w:rPr>
              <w:t>380</w:t>
            </w:r>
          </w:p>
        </w:tc>
        <w:tc>
          <w:tcPr>
            <w:tcW w:w="1548" w:type="dxa"/>
            <w:gridSpan w:val="3"/>
            <w:noWrap w:val="0"/>
            <w:vAlign w:val="center"/>
          </w:tcPr>
          <w:p>
            <w:pPr>
              <w:jc w:val="center"/>
              <w:rPr>
                <w:b/>
                <w:bCs/>
                <w:sz w:val="24"/>
                <w:highlight w:val="none"/>
              </w:rPr>
            </w:pPr>
            <w:r>
              <w:rPr>
                <w:b/>
                <w:bCs/>
                <w:sz w:val="24"/>
                <w:highlight w:val="none"/>
              </w:rPr>
              <w:t>其中环保投</w:t>
            </w:r>
          </w:p>
          <w:p>
            <w:pPr>
              <w:jc w:val="center"/>
              <w:rPr>
                <w:sz w:val="24"/>
                <w:highlight w:val="none"/>
              </w:rPr>
            </w:pPr>
            <w:r>
              <w:rPr>
                <w:b/>
                <w:bCs/>
                <w:sz w:val="24"/>
                <w:highlight w:val="none"/>
              </w:rPr>
              <w:t>资（万元）</w:t>
            </w:r>
          </w:p>
        </w:tc>
        <w:tc>
          <w:tcPr>
            <w:tcW w:w="1352" w:type="dxa"/>
            <w:gridSpan w:val="2"/>
            <w:noWrap w:val="0"/>
            <w:vAlign w:val="center"/>
          </w:tcPr>
          <w:p>
            <w:pPr>
              <w:pStyle w:val="94"/>
              <w:jc w:val="center"/>
              <w:rPr>
                <w:rFonts w:hint="eastAsia" w:eastAsia="宋体"/>
                <w:highlight w:val="none"/>
                <w:lang w:eastAsia="zh-CN"/>
              </w:rPr>
            </w:pPr>
            <w:r>
              <w:rPr>
                <w:rFonts w:hint="eastAsia"/>
                <w:highlight w:val="none"/>
                <w:lang w:val="en-US" w:eastAsia="zh-CN"/>
              </w:rPr>
              <w:t>6</w:t>
            </w:r>
          </w:p>
        </w:tc>
        <w:tc>
          <w:tcPr>
            <w:tcW w:w="1895" w:type="dxa"/>
            <w:gridSpan w:val="4"/>
            <w:noWrap w:val="0"/>
            <w:vAlign w:val="center"/>
          </w:tcPr>
          <w:p>
            <w:pPr>
              <w:jc w:val="center"/>
              <w:rPr>
                <w:b/>
                <w:bCs/>
                <w:sz w:val="24"/>
                <w:highlight w:val="none"/>
              </w:rPr>
            </w:pPr>
            <w:r>
              <w:rPr>
                <w:b/>
                <w:bCs/>
                <w:sz w:val="24"/>
                <w:highlight w:val="none"/>
              </w:rPr>
              <w:t>环保投资占</w:t>
            </w:r>
          </w:p>
          <w:p>
            <w:pPr>
              <w:jc w:val="center"/>
              <w:rPr>
                <w:sz w:val="24"/>
                <w:highlight w:val="none"/>
              </w:rPr>
            </w:pPr>
            <w:r>
              <w:rPr>
                <w:b/>
                <w:bCs/>
                <w:sz w:val="24"/>
                <w:highlight w:val="none"/>
              </w:rPr>
              <w:t>总投资比例</w:t>
            </w:r>
          </w:p>
        </w:tc>
        <w:tc>
          <w:tcPr>
            <w:tcW w:w="1363" w:type="dxa"/>
            <w:noWrap w:val="0"/>
            <w:vAlign w:val="center"/>
          </w:tcPr>
          <w:p>
            <w:pPr>
              <w:jc w:val="center"/>
              <w:rPr>
                <w:sz w:val="24"/>
                <w:highlight w:val="none"/>
              </w:rPr>
            </w:pPr>
            <w:r>
              <w:rPr>
                <w:rFonts w:hint="eastAsia"/>
                <w:sz w:val="24"/>
                <w:highlight w:val="none"/>
                <w:lang w:val="en-US" w:eastAsia="zh-CN"/>
              </w:rPr>
              <w:t>1.58</w:t>
            </w:r>
            <w:r>
              <w:rPr>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1373" w:type="dxa"/>
            <w:noWrap w:val="0"/>
            <w:vAlign w:val="center"/>
          </w:tcPr>
          <w:p>
            <w:pPr>
              <w:jc w:val="center"/>
              <w:rPr>
                <w:b/>
                <w:bCs/>
                <w:sz w:val="24"/>
                <w:highlight w:val="none"/>
              </w:rPr>
            </w:pPr>
            <w:r>
              <w:rPr>
                <w:b/>
                <w:bCs/>
                <w:sz w:val="24"/>
                <w:highlight w:val="none"/>
              </w:rPr>
              <w:t>评价经费</w:t>
            </w:r>
          </w:p>
          <w:p>
            <w:pPr>
              <w:jc w:val="center"/>
              <w:rPr>
                <w:b/>
                <w:bCs/>
                <w:sz w:val="24"/>
                <w:highlight w:val="none"/>
              </w:rPr>
            </w:pPr>
            <w:r>
              <w:rPr>
                <w:b/>
                <w:bCs/>
                <w:sz w:val="24"/>
                <w:highlight w:val="none"/>
              </w:rPr>
              <w:t>（万元）</w:t>
            </w:r>
          </w:p>
        </w:tc>
        <w:tc>
          <w:tcPr>
            <w:tcW w:w="2728" w:type="dxa"/>
            <w:gridSpan w:val="3"/>
            <w:noWrap w:val="0"/>
            <w:vAlign w:val="center"/>
          </w:tcPr>
          <w:p>
            <w:pPr>
              <w:jc w:val="center"/>
              <w:rPr>
                <w:sz w:val="24"/>
                <w:highlight w:val="none"/>
              </w:rPr>
            </w:pPr>
            <w:r>
              <w:rPr>
                <w:rFonts w:hint="eastAsia"/>
                <w:sz w:val="24"/>
                <w:highlight w:val="none"/>
              </w:rPr>
              <w:t>/</w:t>
            </w:r>
          </w:p>
        </w:tc>
        <w:tc>
          <w:tcPr>
            <w:tcW w:w="1865" w:type="dxa"/>
            <w:gridSpan w:val="3"/>
            <w:noWrap w:val="0"/>
            <w:vAlign w:val="center"/>
          </w:tcPr>
          <w:p>
            <w:pPr>
              <w:spacing w:line="360" w:lineRule="exact"/>
              <w:jc w:val="center"/>
              <w:rPr>
                <w:sz w:val="24"/>
                <w:highlight w:val="none"/>
              </w:rPr>
            </w:pPr>
            <w:r>
              <w:rPr>
                <w:b/>
                <w:bCs/>
                <w:sz w:val="24"/>
                <w:highlight w:val="none"/>
              </w:rPr>
              <w:t>预期投产日期</w:t>
            </w:r>
          </w:p>
        </w:tc>
        <w:tc>
          <w:tcPr>
            <w:tcW w:w="3258" w:type="dxa"/>
            <w:gridSpan w:val="5"/>
            <w:noWrap w:val="0"/>
            <w:vAlign w:val="center"/>
          </w:tcPr>
          <w:p>
            <w:pPr>
              <w:jc w:val="center"/>
              <w:rPr>
                <w:rFonts w:hint="eastAsia" w:eastAsia="宋体"/>
                <w:sz w:val="24"/>
                <w:highlight w:val="none"/>
                <w:lang w:val="en-US" w:eastAsia="zh-CN"/>
              </w:rPr>
            </w:pPr>
            <w:r>
              <w:rPr>
                <w:rFonts w:hint="eastAsia"/>
                <w:sz w:val="24"/>
                <w:highlight w:val="none"/>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9224" w:type="dxa"/>
            <w:gridSpan w:val="12"/>
            <w:noWrap w:val="0"/>
            <w:vAlign w:val="center"/>
          </w:tcPr>
          <w:p>
            <w:pPr>
              <w:spacing w:line="360" w:lineRule="auto"/>
              <w:rPr>
                <w:b/>
                <w:bCs/>
                <w:spacing w:val="8"/>
                <w:sz w:val="24"/>
                <w:highlight w:val="none"/>
              </w:rPr>
            </w:pPr>
            <w:r>
              <w:rPr>
                <w:b/>
                <w:bCs/>
                <w:spacing w:val="8"/>
                <w:sz w:val="24"/>
                <w:highlight w:val="none"/>
              </w:rPr>
              <w:t>工程内容及规模：</w:t>
            </w:r>
          </w:p>
          <w:p>
            <w:pPr>
              <w:numPr>
                <w:ilvl w:val="0"/>
                <w:numId w:val="1"/>
              </w:numPr>
              <w:spacing w:line="360" w:lineRule="auto"/>
              <w:ind w:left="736" w:leftChars="228" w:hanging="257" w:hangingChars="100"/>
              <w:rPr>
                <w:b/>
                <w:bCs/>
                <w:spacing w:val="8"/>
                <w:sz w:val="24"/>
                <w:highlight w:val="none"/>
              </w:rPr>
            </w:pPr>
            <w:r>
              <w:rPr>
                <w:b/>
                <w:bCs/>
                <w:spacing w:val="8"/>
                <w:sz w:val="24"/>
                <w:highlight w:val="none"/>
              </w:rPr>
              <w:t>项目由来</w:t>
            </w:r>
          </w:p>
          <w:p>
            <w:pPr>
              <w:spacing w:line="480" w:lineRule="exact"/>
              <w:ind w:firstLine="480" w:firstLineChars="200"/>
              <w:rPr>
                <w:sz w:val="24"/>
              </w:rPr>
            </w:pPr>
            <w:r>
              <w:rPr>
                <w:sz w:val="24"/>
              </w:rPr>
              <w:t>随着国家经济建设高速发展，建设工程对</w:t>
            </w:r>
            <w:r>
              <w:rPr>
                <w:rFonts w:hint="eastAsia"/>
                <w:bCs/>
                <w:sz w:val="24"/>
                <w:highlight w:val="none"/>
                <w:lang w:eastAsia="zh-CN"/>
              </w:rPr>
              <w:t>聚苯乙烯泡沫保温板（聚合聚苯板）</w:t>
            </w:r>
            <w:r>
              <w:rPr>
                <w:sz w:val="24"/>
              </w:rPr>
              <w:t>需求十分旺盛。为满足建设工程市场的需要，</w:t>
            </w:r>
            <w:r>
              <w:rPr>
                <w:rFonts w:hint="eastAsia"/>
                <w:sz w:val="24"/>
                <w:lang w:eastAsia="zh-CN"/>
              </w:rPr>
              <w:t>廊坊华坤节能科技有限公司</w:t>
            </w:r>
            <w:r>
              <w:rPr>
                <w:sz w:val="24"/>
              </w:rPr>
              <w:t>拟</w:t>
            </w:r>
            <w:r>
              <w:rPr>
                <w:rFonts w:hint="eastAsia"/>
                <w:sz w:val="24"/>
              </w:rPr>
              <w:t>投资</w:t>
            </w:r>
            <w:r>
              <w:rPr>
                <w:rFonts w:hint="eastAsia"/>
                <w:sz w:val="24"/>
                <w:lang w:val="en-US" w:eastAsia="zh-CN"/>
              </w:rPr>
              <w:t>380万元</w:t>
            </w:r>
            <w:r>
              <w:rPr>
                <w:sz w:val="24"/>
              </w:rPr>
              <w:t>建设</w:t>
            </w:r>
            <w:r>
              <w:rPr>
                <w:rFonts w:hint="eastAsia"/>
                <w:bCs/>
                <w:sz w:val="24"/>
                <w:highlight w:val="none"/>
                <w:lang w:eastAsia="zh-CN"/>
              </w:rPr>
              <w:t>年产20万立方米热固复合聚苯乙烯泡沫保温板（聚合聚苯板）项目</w:t>
            </w:r>
            <w:r>
              <w:rPr>
                <w:sz w:val="24"/>
              </w:rPr>
              <w:t>。</w:t>
            </w:r>
          </w:p>
          <w:p>
            <w:pPr>
              <w:spacing w:line="480" w:lineRule="exact"/>
              <w:ind w:firstLine="480" w:firstLineChars="200"/>
              <w:rPr>
                <w:sz w:val="24"/>
                <w:highlight w:val="none"/>
              </w:rPr>
            </w:pPr>
            <w:r>
              <w:rPr>
                <w:sz w:val="24"/>
              </w:rPr>
              <w:t>根据《中华人民</w:t>
            </w:r>
            <w:r>
              <w:rPr>
                <w:bCs/>
                <w:sz w:val="24"/>
                <w:highlight w:val="none"/>
              </w:rPr>
              <w:t>共和国环境影响评价法》、《建设项目环境保护管理条例》（国务院第</w:t>
            </w:r>
            <w:r>
              <w:rPr>
                <w:rFonts w:hint="eastAsia"/>
                <w:bCs/>
                <w:sz w:val="24"/>
                <w:highlight w:val="none"/>
                <w:lang w:val="en-US" w:eastAsia="zh-CN"/>
              </w:rPr>
              <w:t>682</w:t>
            </w:r>
            <w:r>
              <w:rPr>
                <w:bCs/>
                <w:sz w:val="24"/>
                <w:highlight w:val="none"/>
              </w:rPr>
              <w:t>号令）和《建设项目环境影响评价分类管理名录》（中华人民共和国环境保护部令第</w:t>
            </w:r>
            <w:r>
              <w:rPr>
                <w:rFonts w:hint="eastAsia"/>
                <w:bCs/>
                <w:sz w:val="24"/>
                <w:highlight w:val="none"/>
                <w:lang w:val="en-US" w:eastAsia="zh-CN"/>
              </w:rPr>
              <w:t>44</w:t>
            </w:r>
            <w:r>
              <w:rPr>
                <w:bCs/>
                <w:sz w:val="24"/>
                <w:highlight w:val="none"/>
              </w:rPr>
              <w:t>号）</w:t>
            </w:r>
            <w:r>
              <w:rPr>
                <w:rFonts w:hint="eastAsia"/>
                <w:bCs/>
                <w:sz w:val="24"/>
                <w:highlight w:val="none"/>
                <w:lang w:eastAsia="zh-CN"/>
              </w:rPr>
              <w:t>以及生态环境部</w:t>
            </w:r>
            <w:r>
              <w:rPr>
                <w:rFonts w:hint="eastAsia"/>
                <w:bCs/>
                <w:sz w:val="24"/>
                <w:highlight w:val="none"/>
                <w:lang w:val="en-US" w:eastAsia="zh-CN"/>
              </w:rPr>
              <w:t>1号令</w:t>
            </w:r>
            <w:r>
              <w:rPr>
                <w:rFonts w:hint="eastAsia"/>
                <w:bCs/>
                <w:sz w:val="24"/>
                <w:highlight w:val="none"/>
                <w:lang w:eastAsia="zh-CN"/>
              </w:rPr>
              <w:t>关于修改《建设项目环境影响评价分类管理名录》部分内容的决定</w:t>
            </w:r>
            <w:r>
              <w:rPr>
                <w:bCs/>
                <w:sz w:val="24"/>
                <w:highlight w:val="none"/>
              </w:rPr>
              <w:t>，</w:t>
            </w:r>
            <w:r>
              <w:rPr>
                <w:rFonts w:hint="default"/>
                <w:bCs/>
                <w:sz w:val="24"/>
                <w:highlight w:val="none"/>
              </w:rPr>
              <w:t>本项目属</w:t>
            </w:r>
            <w:r>
              <w:rPr>
                <w:rFonts w:hint="eastAsia"/>
                <w:bCs/>
                <w:sz w:val="24"/>
                <w:highlight w:val="none"/>
              </w:rPr>
              <w:t>于“</w:t>
            </w:r>
            <w:r>
              <w:rPr>
                <w:rFonts w:hint="eastAsia"/>
                <w:bCs/>
                <w:sz w:val="24"/>
                <w:highlight w:val="none"/>
                <w:lang w:eastAsia="zh-CN"/>
              </w:rPr>
              <w:t>十八</w:t>
            </w:r>
            <w:r>
              <w:rPr>
                <w:rFonts w:hint="default"/>
                <w:bCs/>
                <w:sz w:val="24"/>
                <w:highlight w:val="none"/>
              </w:rPr>
              <w:t>、</w:t>
            </w:r>
            <w:r>
              <w:rPr>
                <w:rFonts w:hint="eastAsia"/>
                <w:bCs/>
                <w:sz w:val="24"/>
                <w:highlight w:val="none"/>
                <w:lang w:eastAsia="zh-CN"/>
              </w:rPr>
              <w:t>橡胶和塑料制品业</w:t>
            </w:r>
            <w:r>
              <w:rPr>
                <w:rFonts w:hint="default"/>
                <w:bCs/>
                <w:sz w:val="24"/>
                <w:highlight w:val="none"/>
                <w:lang w:val="en-US" w:eastAsia="zh-CN"/>
              </w:rPr>
              <w:t>-</w:t>
            </w:r>
            <w:r>
              <w:rPr>
                <w:rFonts w:hint="eastAsia"/>
                <w:bCs/>
                <w:sz w:val="24"/>
                <w:highlight w:val="none"/>
                <w:lang w:val="en-US" w:eastAsia="zh-CN"/>
              </w:rPr>
              <w:t>4</w:t>
            </w:r>
            <w:r>
              <w:rPr>
                <w:rFonts w:hint="eastAsia"/>
                <w:bCs/>
                <w:sz w:val="24"/>
                <w:highlight w:val="none"/>
                <w:lang w:val="en-US" w:eastAsia="zh-CN"/>
              </w:rPr>
              <w:t>6</w:t>
            </w:r>
            <w:r>
              <w:rPr>
                <w:rFonts w:hint="eastAsia"/>
                <w:bCs/>
                <w:sz w:val="24"/>
                <w:highlight w:val="none"/>
                <w:lang w:eastAsia="zh-CN"/>
              </w:rPr>
              <w:t>其他”类别</w:t>
            </w:r>
            <w:r>
              <w:rPr>
                <w:rFonts w:hint="eastAsia"/>
                <w:bCs/>
                <w:sz w:val="24"/>
                <w:highlight w:val="none"/>
              </w:rPr>
              <w:t>，</w:t>
            </w:r>
            <w:r>
              <w:rPr>
                <w:rFonts w:hint="eastAsia"/>
                <w:bCs/>
                <w:sz w:val="24"/>
                <w:highlight w:val="none"/>
                <w:lang w:eastAsia="zh-CN"/>
              </w:rPr>
              <w:t>不含“人造革，发泡胶等涉及有毒原材料的，以再生塑料为原材料的；有电镀或喷漆工艺且年用油性漆量（含稀释剂）</w:t>
            </w:r>
            <w:r>
              <w:rPr>
                <w:rFonts w:hint="eastAsia"/>
                <w:bCs/>
                <w:sz w:val="24"/>
                <w:highlight w:val="none"/>
                <w:lang w:val="en-US" w:eastAsia="zh-CN"/>
              </w:rPr>
              <w:t>10吨及以上的</w:t>
            </w:r>
            <w:r>
              <w:rPr>
                <w:rFonts w:hint="eastAsia"/>
                <w:bCs/>
                <w:sz w:val="24"/>
                <w:highlight w:val="none"/>
                <w:lang w:eastAsia="zh-CN"/>
              </w:rPr>
              <w:t>”</w:t>
            </w:r>
            <w:r>
              <w:rPr>
                <w:rFonts w:hint="default"/>
                <w:bCs/>
                <w:sz w:val="24"/>
                <w:highlight w:val="none"/>
              </w:rPr>
              <w:t>应编制环境影响报告表。</w:t>
            </w:r>
            <w:r>
              <w:rPr>
                <w:rFonts w:hint="eastAsia"/>
                <w:bCs/>
                <w:sz w:val="24"/>
                <w:highlight w:val="none"/>
                <w:lang w:eastAsia="zh-CN"/>
              </w:rPr>
              <w:t>廊坊华坤节能科技有限公司</w:t>
            </w:r>
            <w:r>
              <w:rPr>
                <w:spacing w:val="-6"/>
                <w:sz w:val="24"/>
              </w:rPr>
              <w:t>于201</w:t>
            </w:r>
            <w:r>
              <w:rPr>
                <w:rFonts w:hint="eastAsia"/>
                <w:spacing w:val="-6"/>
                <w:sz w:val="24"/>
                <w:lang w:val="en-US" w:eastAsia="zh-CN"/>
              </w:rPr>
              <w:t>9</w:t>
            </w:r>
            <w:r>
              <w:rPr>
                <w:spacing w:val="-6"/>
                <w:sz w:val="24"/>
              </w:rPr>
              <w:t>年</w:t>
            </w:r>
            <w:r>
              <w:rPr>
                <w:rFonts w:hint="eastAsia"/>
                <w:spacing w:val="-6"/>
                <w:sz w:val="24"/>
                <w:lang w:val="en-US" w:eastAsia="zh-CN"/>
              </w:rPr>
              <w:t>2</w:t>
            </w:r>
            <w:r>
              <w:rPr>
                <w:spacing w:val="-6"/>
                <w:sz w:val="24"/>
              </w:rPr>
              <w:t>月委托</w:t>
            </w:r>
            <w:r>
              <w:rPr>
                <w:rFonts w:hint="eastAsia"/>
                <w:sz w:val="24"/>
              </w:rPr>
              <w:t>我单位</w:t>
            </w:r>
            <w:r>
              <w:rPr>
                <w:spacing w:val="-6"/>
                <w:sz w:val="24"/>
              </w:rPr>
              <w:t>进行该项目环境影响评价工作。</w:t>
            </w:r>
            <w:r>
              <w:rPr>
                <w:bCs/>
                <w:sz w:val="24"/>
                <w:highlight w:val="none"/>
              </w:rPr>
              <w:t>接受委托后，我单位</w:t>
            </w:r>
            <w:r>
              <w:rPr>
                <w:sz w:val="24"/>
                <w:highlight w:val="none"/>
              </w:rPr>
              <w:t>立即开展了现场踏勘、资料收集等工作，并按照《环境影响评价技术导则》的规定编制完成了本项目环境影响报告表。</w:t>
            </w:r>
          </w:p>
          <w:p>
            <w:pPr>
              <w:spacing w:line="360" w:lineRule="auto"/>
              <w:ind w:firstLine="544"/>
              <w:rPr>
                <w:rFonts w:hint="eastAsia"/>
                <w:bCs/>
                <w:spacing w:val="8"/>
                <w:sz w:val="24"/>
                <w:highlight w:val="none"/>
                <w:lang w:eastAsia="zh-CN"/>
              </w:rPr>
            </w:pPr>
            <w:r>
              <w:rPr>
                <w:b/>
                <w:bCs w:val="0"/>
                <w:spacing w:val="8"/>
                <w:sz w:val="24"/>
                <w:highlight w:val="none"/>
              </w:rPr>
              <w:t>1、</w:t>
            </w:r>
            <w:r>
              <w:rPr>
                <w:rFonts w:hint="eastAsia"/>
                <w:b/>
                <w:bCs w:val="0"/>
                <w:spacing w:val="8"/>
                <w:sz w:val="24"/>
                <w:highlight w:val="none"/>
                <w:lang w:eastAsia="zh-CN"/>
              </w:rPr>
              <w:t>项目名称</w:t>
            </w:r>
          </w:p>
          <w:p>
            <w:pPr>
              <w:spacing w:line="360" w:lineRule="auto"/>
              <w:ind w:firstLine="544"/>
              <w:rPr>
                <w:rFonts w:hint="eastAsia"/>
                <w:bCs/>
                <w:sz w:val="24"/>
                <w:highlight w:val="none"/>
                <w:lang w:eastAsia="zh-CN"/>
              </w:rPr>
            </w:pPr>
            <w:r>
              <w:rPr>
                <w:rFonts w:hint="eastAsia"/>
                <w:bCs/>
                <w:sz w:val="24"/>
                <w:highlight w:val="none"/>
                <w:lang w:eastAsia="zh-CN"/>
              </w:rPr>
              <w:t>年产20万立方米热固复合聚苯乙烯泡沫保温板（聚合聚苯板）项目</w:t>
            </w:r>
          </w:p>
          <w:p>
            <w:pPr>
              <w:spacing w:line="360" w:lineRule="auto"/>
              <w:ind w:firstLine="544"/>
              <w:rPr>
                <w:rFonts w:hint="eastAsia" w:eastAsia="宋体"/>
                <w:b/>
                <w:bCs w:val="0"/>
                <w:spacing w:val="8"/>
                <w:sz w:val="24"/>
                <w:highlight w:val="none"/>
                <w:lang w:eastAsia="zh-CN"/>
              </w:rPr>
            </w:pPr>
            <w:r>
              <w:rPr>
                <w:rFonts w:hint="eastAsia"/>
                <w:b/>
                <w:bCs w:val="0"/>
                <w:spacing w:val="8"/>
                <w:sz w:val="24"/>
                <w:highlight w:val="none"/>
                <w:lang w:val="en-US" w:eastAsia="zh-CN"/>
              </w:rPr>
              <w:t>2、</w:t>
            </w:r>
            <w:r>
              <w:rPr>
                <w:rFonts w:hint="eastAsia"/>
                <w:b/>
                <w:bCs w:val="0"/>
                <w:spacing w:val="8"/>
                <w:sz w:val="24"/>
                <w:highlight w:val="none"/>
                <w:lang w:eastAsia="zh-CN"/>
              </w:rPr>
              <w:t>建设地点</w:t>
            </w:r>
          </w:p>
          <w:p>
            <w:pPr>
              <w:spacing w:line="360" w:lineRule="auto"/>
              <w:ind w:firstLine="480" w:firstLineChars="200"/>
              <w:rPr>
                <w:bCs/>
                <w:sz w:val="24"/>
                <w:highlight w:val="none"/>
              </w:rPr>
            </w:pPr>
            <w:r>
              <w:rPr>
                <w:bCs/>
                <w:sz w:val="24"/>
                <w:highlight w:val="none"/>
              </w:rPr>
              <w:t>本项目位于</w:t>
            </w:r>
            <w:r>
              <w:rPr>
                <w:rFonts w:hint="eastAsia"/>
                <w:spacing w:val="-4"/>
                <w:sz w:val="24"/>
                <w:highlight w:val="none"/>
                <w:lang w:eastAsia="zh-CN"/>
              </w:rPr>
              <w:t>河北省廊坊市</w:t>
            </w:r>
            <w:r>
              <w:rPr>
                <w:rFonts w:hint="default" w:ascii="Times New Roman" w:hAnsi="Times New Roman" w:cs="Times New Roman"/>
                <w:spacing w:val="-4"/>
                <w:sz w:val="24"/>
                <w:highlight w:val="none"/>
                <w:lang w:eastAsia="zh-CN"/>
              </w:rPr>
              <w:t>大城县里坦镇流源庄村</w:t>
            </w:r>
            <w:r>
              <w:rPr>
                <w:rFonts w:hint="default" w:ascii="Times New Roman" w:hAnsi="Times New Roman" w:cs="Times New Roman"/>
                <w:bCs/>
                <w:sz w:val="24"/>
                <w:highlight w:val="none"/>
              </w:rPr>
              <w:t>，中心地理位置坐标为</w:t>
            </w:r>
            <w:r>
              <w:rPr>
                <w:rFonts w:hint="default" w:ascii="Times New Roman" w:hAnsi="Times New Roman" w:cs="Times New Roman"/>
                <w:bCs/>
                <w:color w:val="000000"/>
                <w:sz w:val="24"/>
                <w:highlight w:val="none"/>
                <w:lang w:eastAsia="zh-CN"/>
              </w:rPr>
              <w:t>东经116°35'28.65"，北纬38°33'06.44"</w:t>
            </w:r>
            <w:r>
              <w:rPr>
                <w:rFonts w:hint="default" w:ascii="Times New Roman" w:hAnsi="Times New Roman" w:cs="Times New Roman"/>
                <w:bCs/>
                <w:sz w:val="24"/>
                <w:highlight w:val="none"/>
              </w:rPr>
              <w:t>，</w:t>
            </w:r>
            <w:r>
              <w:rPr>
                <w:rFonts w:hint="eastAsia"/>
                <w:bCs/>
                <w:sz w:val="24"/>
                <w:highlight w:val="none"/>
                <w:lang w:eastAsia="zh-CN"/>
              </w:rPr>
              <w:t>项目</w:t>
            </w:r>
            <w:r>
              <w:rPr>
                <w:rFonts w:hint="eastAsia"/>
                <w:sz w:val="24"/>
                <w:szCs w:val="24"/>
                <w:lang w:eastAsia="zh-CN"/>
              </w:rPr>
              <w:t>东侧为空地，西侧为公路，南侧为流源庄村地，北侧为空地。</w:t>
            </w:r>
            <w:r>
              <w:rPr>
                <w:sz w:val="24"/>
                <w:highlight w:val="none"/>
              </w:rPr>
              <w:t>距项目最近的敏感点为厂界</w:t>
            </w:r>
            <w:r>
              <w:rPr>
                <w:rFonts w:hint="eastAsia"/>
                <w:sz w:val="24"/>
                <w:highlight w:val="none"/>
                <w:lang w:eastAsia="zh-CN"/>
              </w:rPr>
              <w:t>西南</w:t>
            </w:r>
            <w:r>
              <w:rPr>
                <w:rFonts w:hint="eastAsia"/>
                <w:sz w:val="24"/>
                <w:highlight w:val="none"/>
              </w:rPr>
              <w:t>侧</w:t>
            </w:r>
            <w:r>
              <w:rPr>
                <w:rFonts w:hint="eastAsia"/>
                <w:sz w:val="24"/>
                <w:highlight w:val="none"/>
                <w:lang w:val="en-US" w:eastAsia="zh-CN"/>
              </w:rPr>
              <w:t>109m</w:t>
            </w:r>
            <w:r>
              <w:rPr>
                <w:rFonts w:hint="eastAsia"/>
                <w:sz w:val="24"/>
                <w:highlight w:val="none"/>
              </w:rPr>
              <w:t>处的</w:t>
            </w:r>
            <w:r>
              <w:rPr>
                <w:rFonts w:hint="eastAsia"/>
                <w:sz w:val="24"/>
                <w:highlight w:val="none"/>
                <w:lang w:eastAsia="zh-CN"/>
              </w:rPr>
              <w:t>里坦镇流源庄村</w:t>
            </w:r>
            <w:r>
              <w:rPr>
                <w:sz w:val="24"/>
                <w:highlight w:val="none"/>
              </w:rPr>
              <w:t>。</w:t>
            </w:r>
            <w:r>
              <w:rPr>
                <w:bCs/>
                <w:sz w:val="24"/>
                <w:highlight w:val="none"/>
              </w:rPr>
              <w:t>（</w:t>
            </w:r>
            <w:r>
              <w:rPr>
                <w:sz w:val="24"/>
                <w:highlight w:val="none"/>
              </w:rPr>
              <w:t>项目地理位置见附图1，周边关系见附图2）</w:t>
            </w:r>
            <w:r>
              <w:rPr>
                <w:bCs/>
                <w:sz w:val="24"/>
                <w:highlight w:val="none"/>
              </w:rPr>
              <w:t>。</w:t>
            </w:r>
          </w:p>
          <w:p>
            <w:pPr>
              <w:numPr>
                <w:ilvl w:val="0"/>
                <w:numId w:val="2"/>
              </w:numPr>
              <w:spacing w:line="360" w:lineRule="auto"/>
              <w:ind w:firstLine="544"/>
              <w:rPr>
                <w:rFonts w:hint="eastAsia"/>
                <w:b/>
                <w:bCs w:val="0"/>
                <w:spacing w:val="8"/>
                <w:sz w:val="24"/>
                <w:highlight w:val="none"/>
                <w:lang w:val="en-US" w:eastAsia="zh-CN"/>
              </w:rPr>
            </w:pPr>
            <w:r>
              <w:rPr>
                <w:rFonts w:hint="eastAsia"/>
                <w:b/>
                <w:bCs w:val="0"/>
                <w:spacing w:val="8"/>
                <w:sz w:val="24"/>
                <w:highlight w:val="none"/>
                <w:lang w:val="en-US" w:eastAsia="zh-CN"/>
              </w:rPr>
              <w:t>项目投资</w:t>
            </w:r>
          </w:p>
          <w:p>
            <w:pPr>
              <w:spacing w:line="360" w:lineRule="auto"/>
              <w:ind w:firstLine="600" w:firstLineChars="250"/>
              <w:rPr>
                <w:rFonts w:hint="eastAsia"/>
                <w:bCs/>
                <w:sz w:val="24"/>
                <w:highlight w:val="none"/>
                <w:lang w:val="en-US" w:eastAsia="zh-CN"/>
              </w:rPr>
            </w:pPr>
            <w:r>
              <w:rPr>
                <w:rFonts w:hint="eastAsia"/>
                <w:bCs/>
                <w:sz w:val="24"/>
                <w:highlight w:val="none"/>
                <w:lang w:val="en-US" w:eastAsia="zh-CN"/>
              </w:rPr>
              <w:t>项目总投资380万元，环</w:t>
            </w:r>
            <w:r>
              <w:rPr>
                <w:rFonts w:hint="eastAsia"/>
                <w:bCs/>
                <w:color w:val="auto"/>
                <w:sz w:val="24"/>
                <w:highlight w:val="none"/>
                <w:lang w:val="en-US" w:eastAsia="zh-CN"/>
              </w:rPr>
              <w:t>保投资6万元，环保投资站总投资1.58%。</w:t>
            </w:r>
          </w:p>
          <w:p>
            <w:pPr>
              <w:spacing w:line="360" w:lineRule="auto"/>
              <w:ind w:firstLine="544"/>
              <w:rPr>
                <w:rFonts w:hint="eastAsia"/>
                <w:b/>
                <w:bCs w:val="0"/>
                <w:spacing w:val="8"/>
                <w:sz w:val="24"/>
                <w:highlight w:val="none"/>
                <w:lang w:val="en-US" w:eastAsia="zh-CN"/>
              </w:rPr>
            </w:pPr>
            <w:r>
              <w:rPr>
                <w:rFonts w:hint="eastAsia"/>
                <w:b/>
                <w:bCs w:val="0"/>
                <w:spacing w:val="8"/>
                <w:sz w:val="24"/>
                <w:highlight w:val="none"/>
                <w:lang w:val="en-US" w:eastAsia="zh-CN"/>
              </w:rPr>
              <w:t xml:space="preserve">4、建设内容及建设规模 </w:t>
            </w:r>
          </w:p>
          <w:p>
            <w:pPr>
              <w:spacing w:line="360" w:lineRule="auto"/>
              <w:ind w:firstLine="544"/>
              <w:rPr>
                <w:sz w:val="24"/>
                <w:highlight w:val="none"/>
              </w:rPr>
            </w:pPr>
            <w:r>
              <w:rPr>
                <w:bCs/>
                <w:sz w:val="24"/>
                <w:highlight w:val="none"/>
              </w:rPr>
              <w:t>项目厂区占地面积</w:t>
            </w:r>
            <w:r>
              <w:rPr>
                <w:rFonts w:hint="eastAsia"/>
                <w:sz w:val="24"/>
                <w:highlight w:val="none"/>
                <w:lang w:val="en-US" w:eastAsia="zh-CN"/>
              </w:rPr>
              <w:t>1700</w:t>
            </w:r>
            <w:r>
              <w:rPr>
                <w:bCs/>
                <w:sz w:val="24"/>
                <w:highlight w:val="none"/>
              </w:rPr>
              <w:t>m</w:t>
            </w:r>
            <w:r>
              <w:rPr>
                <w:bCs/>
                <w:sz w:val="24"/>
                <w:highlight w:val="none"/>
                <w:vertAlign w:val="superscript"/>
              </w:rPr>
              <w:t>2</w:t>
            </w:r>
            <w:r>
              <w:rPr>
                <w:bCs/>
                <w:sz w:val="24"/>
                <w:highlight w:val="none"/>
              </w:rPr>
              <w:t>，建筑面积</w:t>
            </w:r>
            <w:r>
              <w:rPr>
                <w:rFonts w:hint="eastAsia"/>
                <w:bCs/>
                <w:sz w:val="24"/>
                <w:highlight w:val="none"/>
                <w:lang w:val="en-US" w:eastAsia="zh-CN"/>
              </w:rPr>
              <w:t>17</w:t>
            </w:r>
            <w:r>
              <w:rPr>
                <w:rFonts w:hint="eastAsia"/>
                <w:bCs/>
                <w:sz w:val="24"/>
                <w:highlight w:val="none"/>
                <w:lang w:val="en-US" w:eastAsia="zh-CN"/>
              </w:rPr>
              <w:t>00</w:t>
            </w:r>
            <w:r>
              <w:rPr>
                <w:bCs/>
                <w:sz w:val="24"/>
                <w:highlight w:val="none"/>
              </w:rPr>
              <w:t>m</w:t>
            </w:r>
            <w:r>
              <w:rPr>
                <w:bCs/>
                <w:sz w:val="24"/>
                <w:highlight w:val="none"/>
                <w:vertAlign w:val="superscript"/>
              </w:rPr>
              <w:t>2</w:t>
            </w:r>
            <w:r>
              <w:rPr>
                <w:sz w:val="24"/>
                <w:highlight w:val="none"/>
              </w:rPr>
              <w:t>。</w:t>
            </w:r>
            <w:r>
              <w:rPr>
                <w:rFonts w:hint="eastAsia"/>
                <w:sz w:val="24"/>
                <w:highlight w:val="none"/>
                <w:lang w:eastAsia="zh-CN"/>
              </w:rPr>
              <w:t>新建生产车间、</w:t>
            </w:r>
            <w:r>
              <w:rPr>
                <w:rFonts w:hint="eastAsia"/>
                <w:color w:val="000000"/>
                <w:sz w:val="24"/>
                <w:highlight w:val="none"/>
                <w:lang w:eastAsia="zh-CN"/>
              </w:rPr>
              <w:t>办公楼等</w:t>
            </w:r>
            <w:r>
              <w:rPr>
                <w:rFonts w:hint="eastAsia"/>
                <w:bCs/>
                <w:sz w:val="24"/>
                <w:highlight w:val="none"/>
                <w:lang w:eastAsia="zh-CN"/>
              </w:rPr>
              <w:t>，项目</w:t>
            </w:r>
            <w:r>
              <w:rPr>
                <w:rFonts w:hint="eastAsia"/>
                <w:kern w:val="0"/>
                <w:sz w:val="24"/>
                <w:highlight w:val="none"/>
                <w:lang w:eastAsia="zh-CN"/>
              </w:rPr>
              <w:t>年产20万立方米热固复合聚苯乙烯泡沫保温板（聚合聚苯板）</w:t>
            </w:r>
            <w:r>
              <w:rPr>
                <w:sz w:val="24"/>
                <w:highlight w:val="none"/>
              </w:rPr>
              <w:t>。</w:t>
            </w:r>
          </w:p>
          <w:p>
            <w:pPr>
              <w:spacing w:line="360" w:lineRule="auto"/>
              <w:ind w:firstLine="544"/>
              <w:rPr>
                <w:bCs/>
                <w:sz w:val="24"/>
                <w:highlight w:val="none"/>
              </w:rPr>
            </w:pPr>
            <w:r>
              <w:rPr>
                <w:bCs/>
                <w:sz w:val="24"/>
                <w:highlight w:val="none"/>
              </w:rPr>
              <w:t>项目</w:t>
            </w:r>
            <w:r>
              <w:rPr>
                <w:rFonts w:hint="eastAsia"/>
                <w:bCs/>
                <w:sz w:val="24"/>
                <w:highlight w:val="none"/>
                <w:lang w:eastAsia="zh-CN"/>
              </w:rPr>
              <w:t>工程内容及建筑物</w:t>
            </w:r>
            <w:r>
              <w:rPr>
                <w:bCs/>
                <w:sz w:val="24"/>
                <w:highlight w:val="none"/>
              </w:rPr>
              <w:t>见下表1</w:t>
            </w:r>
            <w:r>
              <w:rPr>
                <w:rFonts w:hint="eastAsia"/>
                <w:bCs/>
                <w:sz w:val="24"/>
                <w:highlight w:val="none"/>
                <w:lang w:eastAsia="zh-CN"/>
              </w:rPr>
              <w:t>、表</w:t>
            </w:r>
            <w:r>
              <w:rPr>
                <w:rFonts w:hint="eastAsia"/>
                <w:bCs/>
                <w:sz w:val="24"/>
                <w:highlight w:val="none"/>
                <w:lang w:val="en-US" w:eastAsia="zh-CN"/>
              </w:rPr>
              <w:t>2</w:t>
            </w:r>
            <w:r>
              <w:rPr>
                <w:bCs/>
                <w:sz w:val="24"/>
                <w:highlight w:val="none"/>
              </w:rPr>
              <w:t>。</w:t>
            </w:r>
          </w:p>
          <w:p>
            <w:pPr>
              <w:jc w:val="center"/>
              <w:rPr>
                <w:rFonts w:hint="eastAsia" w:eastAsia="宋体"/>
                <w:b/>
                <w:sz w:val="24"/>
                <w:highlight w:val="none"/>
                <w:lang w:eastAsia="zh-CN"/>
              </w:rPr>
            </w:pPr>
            <w:r>
              <w:rPr>
                <w:b/>
                <w:sz w:val="24"/>
                <w:highlight w:val="none"/>
              </w:rPr>
              <w:t>表1 项目</w:t>
            </w:r>
            <w:r>
              <w:rPr>
                <w:rFonts w:hint="eastAsia"/>
                <w:b/>
                <w:sz w:val="24"/>
                <w:highlight w:val="none"/>
                <w:lang w:eastAsia="zh-CN"/>
              </w:rPr>
              <w:t>工程内容一览表</w:t>
            </w:r>
          </w:p>
          <w:tbl>
            <w:tblPr>
              <w:tblStyle w:val="37"/>
              <w:tblW w:w="900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299"/>
              <w:gridCol w:w="66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6" w:type="dxa"/>
                  <w:noWrap w:val="0"/>
                  <w:vAlign w:val="center"/>
                </w:tcPr>
                <w:p>
                  <w:pPr>
                    <w:pStyle w:val="59"/>
                    <w:spacing w:line="240" w:lineRule="auto"/>
                    <w:rPr>
                      <w:kern w:val="0"/>
                      <w:szCs w:val="21"/>
                      <w:highlight w:val="none"/>
                    </w:rPr>
                  </w:pPr>
                  <w:r>
                    <w:rPr>
                      <w:kern w:val="0"/>
                      <w:szCs w:val="21"/>
                      <w:highlight w:val="none"/>
                    </w:rPr>
                    <w:t>工程分类</w:t>
                  </w:r>
                </w:p>
              </w:tc>
              <w:tc>
                <w:tcPr>
                  <w:tcW w:w="1299" w:type="dxa"/>
                  <w:noWrap w:val="0"/>
                  <w:vAlign w:val="center"/>
                </w:tcPr>
                <w:p>
                  <w:pPr>
                    <w:pStyle w:val="59"/>
                    <w:spacing w:line="240" w:lineRule="auto"/>
                    <w:rPr>
                      <w:kern w:val="0"/>
                      <w:szCs w:val="21"/>
                      <w:highlight w:val="none"/>
                    </w:rPr>
                  </w:pPr>
                  <w:r>
                    <w:rPr>
                      <w:kern w:val="0"/>
                      <w:szCs w:val="21"/>
                      <w:highlight w:val="none"/>
                    </w:rPr>
                    <w:t>项目名称</w:t>
                  </w:r>
                </w:p>
              </w:tc>
              <w:tc>
                <w:tcPr>
                  <w:tcW w:w="6643" w:type="dxa"/>
                  <w:noWrap w:val="0"/>
                  <w:vAlign w:val="center"/>
                </w:tcPr>
                <w:p>
                  <w:pPr>
                    <w:pStyle w:val="59"/>
                    <w:spacing w:line="240" w:lineRule="auto"/>
                    <w:rPr>
                      <w:kern w:val="0"/>
                      <w:szCs w:val="21"/>
                      <w:highlight w:val="none"/>
                    </w:rPr>
                  </w:pPr>
                  <w:r>
                    <w:rPr>
                      <w:kern w:val="0"/>
                      <w:szCs w:val="21"/>
                      <w:highlight w:val="none"/>
                    </w:rPr>
                    <w:t>项目内容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noWrap w:val="0"/>
                  <w:vAlign w:val="center"/>
                </w:tcPr>
                <w:p>
                  <w:pPr>
                    <w:pStyle w:val="59"/>
                    <w:spacing w:line="240" w:lineRule="auto"/>
                    <w:rPr>
                      <w:rFonts w:hint="eastAsia" w:eastAsia="宋体"/>
                      <w:szCs w:val="21"/>
                      <w:highlight w:val="none"/>
                      <w:lang w:eastAsia="zh-CN"/>
                    </w:rPr>
                  </w:pPr>
                  <w:r>
                    <w:rPr>
                      <w:rFonts w:hint="eastAsia"/>
                      <w:szCs w:val="21"/>
                      <w:highlight w:val="none"/>
                      <w:lang w:eastAsia="zh-CN"/>
                    </w:rPr>
                    <w:t>主体工程</w:t>
                  </w:r>
                </w:p>
              </w:tc>
              <w:tc>
                <w:tcPr>
                  <w:tcW w:w="1299" w:type="dxa"/>
                  <w:noWrap w:val="0"/>
                  <w:vAlign w:val="center"/>
                </w:tcPr>
                <w:p>
                  <w:pPr>
                    <w:pStyle w:val="59"/>
                    <w:spacing w:line="240" w:lineRule="auto"/>
                    <w:rPr>
                      <w:rFonts w:hint="eastAsia" w:eastAsia="宋体"/>
                      <w:szCs w:val="21"/>
                      <w:highlight w:val="none"/>
                      <w:lang w:val="en-US" w:eastAsia="zh-CN"/>
                    </w:rPr>
                  </w:pPr>
                  <w:r>
                    <w:rPr>
                      <w:rFonts w:hint="eastAsia"/>
                      <w:szCs w:val="21"/>
                      <w:highlight w:val="none"/>
                      <w:lang w:eastAsia="zh-CN"/>
                    </w:rPr>
                    <w:t>生产车间</w:t>
                  </w:r>
                </w:p>
              </w:tc>
              <w:tc>
                <w:tcPr>
                  <w:tcW w:w="6643" w:type="dxa"/>
                  <w:noWrap w:val="0"/>
                  <w:vAlign w:val="center"/>
                </w:tcPr>
                <w:p>
                  <w:pPr>
                    <w:jc w:val="center"/>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1座，</w:t>
                  </w:r>
                  <w:r>
                    <w:rPr>
                      <w:rFonts w:hint="default" w:ascii="Times New Roman" w:hAnsi="Times New Roman" w:cs="Times New Roman"/>
                      <w:szCs w:val="21"/>
                      <w:highlight w:val="none"/>
                      <w:lang w:eastAsia="zh-CN"/>
                    </w:rPr>
                    <w:t>建筑面积为</w:t>
                  </w:r>
                  <w:r>
                    <w:rPr>
                      <w:rFonts w:hint="default" w:ascii="Times New Roman" w:hAnsi="Times New Roman" w:cs="Times New Roman"/>
                      <w:szCs w:val="21"/>
                      <w:highlight w:val="none"/>
                      <w:lang w:val="en-US" w:eastAsia="zh-CN"/>
                    </w:rPr>
                    <w:t>1</w:t>
                  </w:r>
                  <w:r>
                    <w:rPr>
                      <w:rFonts w:hint="eastAsia" w:ascii="Times New Roman" w:hAnsi="Times New Roman" w:cs="Times New Roman"/>
                      <w:szCs w:val="21"/>
                      <w:highlight w:val="none"/>
                      <w:lang w:val="en-US" w:eastAsia="zh-CN"/>
                    </w:rPr>
                    <w:t>295</w:t>
                  </w:r>
                  <w:r>
                    <w:rPr>
                      <w:rFonts w:hint="default" w:ascii="Times New Roman" w:hAnsi="Times New Roman" w:cs="Times New Roman"/>
                      <w:szCs w:val="21"/>
                      <w:highlight w:val="none"/>
                      <w:lang w:val="en-US" w:eastAsia="zh-CN"/>
                    </w:rPr>
                    <w:t>m</w:t>
                  </w:r>
                  <w:r>
                    <w:rPr>
                      <w:rFonts w:hint="default" w:ascii="Times New Roman" w:hAnsi="Times New Roman" w:cs="Times New Roman"/>
                      <w:szCs w:val="21"/>
                      <w:highlight w:val="none"/>
                      <w:vertAlign w:val="superscript"/>
                      <w:lang w:val="en-US" w:eastAsia="zh-CN"/>
                    </w:rPr>
                    <w:t>2</w:t>
                  </w:r>
                  <w:r>
                    <w:rPr>
                      <w:rFonts w:hint="default" w:ascii="Times New Roman" w:hAnsi="Times New Roman" w:cs="Times New Roman"/>
                      <w:szCs w:val="21"/>
                      <w:highlight w:val="none"/>
                      <w:lang w:val="en-US" w:eastAsia="zh-CN"/>
                    </w:rPr>
                    <w:t>，</w:t>
                  </w:r>
                  <w:r>
                    <w:rPr>
                      <w:rFonts w:hint="eastAsia" w:ascii="Times New Roman" w:hAnsi="Times New Roman" w:cs="Times New Roman"/>
                      <w:szCs w:val="21"/>
                      <w:highlight w:val="none"/>
                      <w:lang w:eastAsia="zh-CN"/>
                    </w:rPr>
                    <w:t>用于热固复合聚苯乙烯泡沫保温板（聚合聚苯板）生产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vMerge w:val="restart"/>
                  <w:noWrap w:val="0"/>
                  <w:vAlign w:val="center"/>
                </w:tcPr>
                <w:p>
                  <w:pPr>
                    <w:pStyle w:val="59"/>
                    <w:spacing w:line="240" w:lineRule="auto"/>
                    <w:rPr>
                      <w:rFonts w:hint="eastAsia"/>
                      <w:szCs w:val="21"/>
                      <w:highlight w:val="none"/>
                      <w:lang w:eastAsia="zh-CN"/>
                    </w:rPr>
                  </w:pPr>
                  <w:r>
                    <w:rPr>
                      <w:rFonts w:hint="eastAsia"/>
                      <w:szCs w:val="21"/>
                      <w:highlight w:val="none"/>
                      <w:lang w:eastAsia="zh-CN"/>
                    </w:rPr>
                    <w:t>辅助工程</w:t>
                  </w:r>
                </w:p>
              </w:tc>
              <w:tc>
                <w:tcPr>
                  <w:tcW w:w="1299" w:type="dxa"/>
                  <w:noWrap w:val="0"/>
                  <w:vAlign w:val="center"/>
                </w:tcPr>
                <w:p>
                  <w:pPr>
                    <w:pStyle w:val="59"/>
                    <w:spacing w:line="240" w:lineRule="auto"/>
                    <w:rPr>
                      <w:rFonts w:hint="eastAsia" w:eastAsia="宋体"/>
                      <w:szCs w:val="21"/>
                      <w:highlight w:val="none"/>
                      <w:lang w:eastAsia="zh-CN"/>
                    </w:rPr>
                  </w:pPr>
                  <w:r>
                    <w:rPr>
                      <w:rFonts w:hint="eastAsia"/>
                      <w:szCs w:val="21"/>
                      <w:highlight w:val="none"/>
                      <w:lang w:val="en-US" w:eastAsia="zh-CN"/>
                    </w:rPr>
                    <w:t>库房</w:t>
                  </w:r>
                </w:p>
              </w:tc>
              <w:tc>
                <w:tcPr>
                  <w:tcW w:w="6643" w:type="dxa"/>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1座，</w:t>
                  </w:r>
                  <w:r>
                    <w:rPr>
                      <w:rFonts w:hint="default" w:ascii="Times New Roman" w:hAnsi="Times New Roman" w:cs="Times New Roman"/>
                      <w:szCs w:val="21"/>
                      <w:highlight w:val="none"/>
                      <w:lang w:eastAsia="zh-CN"/>
                    </w:rPr>
                    <w:t>建筑面积为</w:t>
                  </w:r>
                  <w:r>
                    <w:rPr>
                      <w:rFonts w:hint="default" w:ascii="Times New Roman" w:hAnsi="Times New Roman" w:cs="Times New Roman"/>
                      <w:szCs w:val="21"/>
                      <w:highlight w:val="none"/>
                      <w:lang w:val="en-US" w:eastAsia="zh-CN"/>
                    </w:rPr>
                    <w:t>100m</w:t>
                  </w:r>
                  <w:r>
                    <w:rPr>
                      <w:rFonts w:hint="default" w:ascii="Times New Roman" w:hAnsi="Times New Roman" w:cs="Times New Roman"/>
                      <w:szCs w:val="21"/>
                      <w:highlight w:val="none"/>
                      <w:vertAlign w:val="superscript"/>
                      <w:lang w:val="en-US" w:eastAsia="zh-CN"/>
                    </w:rPr>
                    <w:t>2</w:t>
                  </w:r>
                  <w:r>
                    <w:rPr>
                      <w:rFonts w:hint="default" w:ascii="Times New Roman" w:hAnsi="Times New Roman" w:cs="Times New Roman"/>
                      <w:szCs w:val="21"/>
                      <w:highlight w:val="none"/>
                      <w:lang w:val="en-US" w:eastAsia="zh-CN"/>
                    </w:rPr>
                    <w:t>，</w:t>
                  </w:r>
                  <w:r>
                    <w:rPr>
                      <w:rFonts w:hint="default" w:ascii="Times New Roman" w:hAnsi="Times New Roman" w:cs="Times New Roman"/>
                      <w:szCs w:val="21"/>
                      <w:highlight w:val="none"/>
                    </w:rPr>
                    <w:t>用于</w:t>
                  </w:r>
                  <w:r>
                    <w:rPr>
                      <w:rFonts w:hint="eastAsia" w:ascii="Times New Roman" w:hAnsi="Times New Roman" w:cs="Times New Roman"/>
                      <w:szCs w:val="21"/>
                      <w:highlight w:val="none"/>
                      <w:lang w:eastAsia="zh-CN"/>
                    </w:rPr>
                    <w:t>原辅材料暂存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vMerge w:val="continue"/>
                  <w:noWrap w:val="0"/>
                  <w:vAlign w:val="center"/>
                </w:tcPr>
                <w:p>
                  <w:pPr>
                    <w:pStyle w:val="59"/>
                    <w:spacing w:line="240" w:lineRule="auto"/>
                    <w:rPr>
                      <w:rFonts w:hint="eastAsia"/>
                      <w:szCs w:val="21"/>
                      <w:highlight w:val="none"/>
                      <w:lang w:eastAsia="zh-CN"/>
                    </w:rPr>
                  </w:pPr>
                </w:p>
              </w:tc>
              <w:tc>
                <w:tcPr>
                  <w:tcW w:w="1299" w:type="dxa"/>
                  <w:noWrap w:val="0"/>
                  <w:vAlign w:val="center"/>
                </w:tcPr>
                <w:p>
                  <w:pPr>
                    <w:pStyle w:val="59"/>
                    <w:spacing w:line="240" w:lineRule="auto"/>
                    <w:rPr>
                      <w:rFonts w:hint="eastAsia" w:eastAsia="宋体"/>
                      <w:szCs w:val="21"/>
                      <w:highlight w:val="none"/>
                      <w:lang w:eastAsia="zh-CN"/>
                    </w:rPr>
                  </w:pPr>
                  <w:r>
                    <w:rPr>
                      <w:rFonts w:hint="eastAsia"/>
                      <w:szCs w:val="21"/>
                      <w:highlight w:val="none"/>
                      <w:lang w:val="en-US" w:eastAsia="zh-CN"/>
                    </w:rPr>
                    <w:t>附属用房</w:t>
                  </w:r>
                </w:p>
              </w:tc>
              <w:tc>
                <w:tcPr>
                  <w:tcW w:w="6643" w:type="dxa"/>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1座，</w:t>
                  </w:r>
                  <w:r>
                    <w:rPr>
                      <w:rFonts w:hint="default" w:ascii="Times New Roman" w:hAnsi="Times New Roman" w:cs="Times New Roman"/>
                      <w:szCs w:val="21"/>
                      <w:highlight w:val="none"/>
                      <w:lang w:eastAsia="zh-CN"/>
                    </w:rPr>
                    <w:t>建筑面积为</w:t>
                  </w:r>
                  <w:r>
                    <w:rPr>
                      <w:rFonts w:hint="default" w:ascii="Times New Roman" w:hAnsi="Times New Roman" w:cs="Times New Roman"/>
                      <w:szCs w:val="21"/>
                      <w:highlight w:val="none"/>
                      <w:lang w:val="en-US" w:eastAsia="zh-CN"/>
                    </w:rPr>
                    <w:t>200m</w:t>
                  </w:r>
                  <w:r>
                    <w:rPr>
                      <w:rFonts w:hint="default" w:ascii="Times New Roman" w:hAnsi="Times New Roman" w:cs="Times New Roman"/>
                      <w:szCs w:val="21"/>
                      <w:highlight w:val="none"/>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vMerge w:val="continue"/>
                  <w:noWrap w:val="0"/>
                  <w:vAlign w:val="center"/>
                </w:tcPr>
                <w:p>
                  <w:pPr>
                    <w:pStyle w:val="59"/>
                    <w:spacing w:line="240" w:lineRule="auto"/>
                    <w:rPr>
                      <w:rFonts w:hint="eastAsia"/>
                      <w:szCs w:val="21"/>
                      <w:highlight w:val="none"/>
                      <w:lang w:eastAsia="zh-CN"/>
                    </w:rPr>
                  </w:pPr>
                </w:p>
              </w:tc>
              <w:tc>
                <w:tcPr>
                  <w:tcW w:w="1299" w:type="dxa"/>
                  <w:noWrap w:val="0"/>
                  <w:vAlign w:val="center"/>
                </w:tcPr>
                <w:p>
                  <w:pPr>
                    <w:pStyle w:val="59"/>
                    <w:spacing w:line="240" w:lineRule="auto"/>
                    <w:rPr>
                      <w:rFonts w:hint="eastAsia" w:eastAsia="宋体"/>
                      <w:szCs w:val="21"/>
                      <w:highlight w:val="none"/>
                      <w:lang w:eastAsia="zh-CN"/>
                    </w:rPr>
                  </w:pPr>
                  <w:r>
                    <w:rPr>
                      <w:rFonts w:hint="eastAsia"/>
                      <w:szCs w:val="21"/>
                      <w:highlight w:val="none"/>
                      <w:lang w:val="en-US" w:eastAsia="zh-CN"/>
                    </w:rPr>
                    <w:t>行政办公及生活用房</w:t>
                  </w:r>
                </w:p>
              </w:tc>
              <w:tc>
                <w:tcPr>
                  <w:tcW w:w="6643" w:type="dxa"/>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1座，</w:t>
                  </w:r>
                  <w:r>
                    <w:rPr>
                      <w:rFonts w:hint="default" w:ascii="Times New Roman" w:hAnsi="Times New Roman" w:cs="Times New Roman"/>
                      <w:szCs w:val="21"/>
                      <w:highlight w:val="none"/>
                      <w:lang w:eastAsia="zh-CN"/>
                    </w:rPr>
                    <w:t>建筑面积为</w:t>
                  </w:r>
                  <w:r>
                    <w:rPr>
                      <w:rFonts w:hint="default" w:ascii="Times New Roman" w:hAnsi="Times New Roman" w:cs="Times New Roman"/>
                      <w:szCs w:val="21"/>
                      <w:highlight w:val="none"/>
                      <w:lang w:val="en-US" w:eastAsia="zh-CN"/>
                    </w:rPr>
                    <w:t>100m</w:t>
                  </w:r>
                  <w:r>
                    <w:rPr>
                      <w:rFonts w:hint="default" w:ascii="Times New Roman" w:hAnsi="Times New Roman" w:cs="Times New Roman"/>
                      <w:szCs w:val="21"/>
                      <w:highlight w:val="none"/>
                      <w:vertAlign w:val="superscript"/>
                      <w:lang w:val="en-US" w:eastAsia="zh-CN"/>
                    </w:rPr>
                    <w:t>2</w:t>
                  </w:r>
                  <w:r>
                    <w:rPr>
                      <w:rFonts w:hint="default" w:ascii="Times New Roman" w:hAnsi="Times New Roman" w:cs="Times New Roman"/>
                      <w:szCs w:val="21"/>
                      <w:highlight w:val="none"/>
                      <w:lang w:val="en-US" w:eastAsia="zh-CN"/>
                    </w:rPr>
                    <w:t>，</w:t>
                  </w:r>
                  <w:r>
                    <w:rPr>
                      <w:rFonts w:hint="eastAsia" w:ascii="Times New Roman" w:hAnsi="Times New Roman" w:cs="Times New Roman"/>
                      <w:szCs w:val="21"/>
                      <w:highlight w:val="none"/>
                      <w:lang w:val="en-US" w:eastAsia="zh-CN"/>
                    </w:rPr>
                    <w:t>用于行政办公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vMerge w:val="continue"/>
                  <w:noWrap w:val="0"/>
                  <w:vAlign w:val="center"/>
                </w:tcPr>
                <w:p>
                  <w:pPr>
                    <w:pStyle w:val="59"/>
                    <w:spacing w:line="240" w:lineRule="auto"/>
                    <w:rPr>
                      <w:rFonts w:hint="eastAsia"/>
                      <w:szCs w:val="21"/>
                      <w:highlight w:val="none"/>
                      <w:lang w:eastAsia="zh-CN"/>
                    </w:rPr>
                  </w:pPr>
                </w:p>
              </w:tc>
              <w:tc>
                <w:tcPr>
                  <w:tcW w:w="1299"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危废间</w:t>
                  </w:r>
                </w:p>
              </w:tc>
              <w:tc>
                <w:tcPr>
                  <w:tcW w:w="6643" w:type="dxa"/>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1座，</w:t>
                  </w:r>
                  <w:r>
                    <w:rPr>
                      <w:rFonts w:hint="default" w:ascii="Times New Roman" w:hAnsi="Times New Roman" w:cs="Times New Roman"/>
                      <w:szCs w:val="21"/>
                      <w:highlight w:val="none"/>
                      <w:lang w:eastAsia="zh-CN"/>
                    </w:rPr>
                    <w:t>建筑面积为</w:t>
                  </w:r>
                  <w:r>
                    <w:rPr>
                      <w:rFonts w:hint="eastAsia" w:ascii="Times New Roman" w:hAnsi="Times New Roman" w:cs="Times New Roman"/>
                      <w:szCs w:val="21"/>
                      <w:highlight w:val="none"/>
                      <w:lang w:val="en-US" w:eastAsia="zh-CN"/>
                    </w:rPr>
                    <w:t>5</w:t>
                  </w:r>
                  <w:r>
                    <w:rPr>
                      <w:rFonts w:hint="default" w:ascii="Times New Roman" w:hAnsi="Times New Roman" w:cs="Times New Roman"/>
                      <w:szCs w:val="21"/>
                      <w:highlight w:val="none"/>
                      <w:lang w:val="en-US" w:eastAsia="zh-CN"/>
                    </w:rPr>
                    <w:t>m</w:t>
                  </w:r>
                  <w:r>
                    <w:rPr>
                      <w:rFonts w:hint="default" w:ascii="Times New Roman" w:hAnsi="Times New Roman" w:cs="Times New Roman"/>
                      <w:szCs w:val="21"/>
                      <w:highlight w:val="none"/>
                      <w:vertAlign w:val="superscript"/>
                      <w:lang w:val="en-US" w:eastAsia="zh-CN"/>
                    </w:rPr>
                    <w:t>2</w:t>
                  </w:r>
                  <w:r>
                    <w:rPr>
                      <w:rFonts w:hint="default" w:ascii="Times New Roman" w:hAnsi="Times New Roman" w:cs="Times New Roman"/>
                      <w:szCs w:val="21"/>
                      <w:highlight w:val="none"/>
                      <w:lang w:val="en-US" w:eastAsia="zh-CN"/>
                    </w:rPr>
                    <w:t>，</w:t>
                  </w:r>
                  <w:r>
                    <w:rPr>
                      <w:rFonts w:hint="eastAsia" w:ascii="Times New Roman" w:hAnsi="Times New Roman" w:cs="Times New Roman"/>
                      <w:szCs w:val="21"/>
                      <w:highlight w:val="none"/>
                      <w:lang w:val="en-US" w:eastAsia="zh-CN"/>
                    </w:rPr>
                    <w:t>用于危废暂存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6" w:type="dxa"/>
                  <w:vMerge w:val="restart"/>
                  <w:noWrap w:val="0"/>
                  <w:vAlign w:val="center"/>
                </w:tcPr>
                <w:p>
                  <w:pPr>
                    <w:pStyle w:val="59"/>
                    <w:spacing w:line="240" w:lineRule="auto"/>
                    <w:rPr>
                      <w:szCs w:val="21"/>
                      <w:highlight w:val="none"/>
                    </w:rPr>
                  </w:pPr>
                  <w:r>
                    <w:rPr>
                      <w:szCs w:val="21"/>
                      <w:highlight w:val="none"/>
                    </w:rPr>
                    <w:t>公用工程</w:t>
                  </w:r>
                </w:p>
              </w:tc>
              <w:tc>
                <w:tcPr>
                  <w:tcW w:w="1299" w:type="dxa"/>
                  <w:noWrap w:val="0"/>
                  <w:vAlign w:val="center"/>
                </w:tcPr>
                <w:p>
                  <w:pPr>
                    <w:pStyle w:val="59"/>
                    <w:spacing w:line="240" w:lineRule="auto"/>
                    <w:rPr>
                      <w:szCs w:val="21"/>
                      <w:highlight w:val="none"/>
                    </w:rPr>
                  </w:pPr>
                  <w:r>
                    <w:rPr>
                      <w:szCs w:val="21"/>
                      <w:highlight w:val="none"/>
                    </w:rPr>
                    <w:t>供水</w:t>
                  </w:r>
                </w:p>
              </w:tc>
              <w:tc>
                <w:tcPr>
                  <w:tcW w:w="6643" w:type="dxa"/>
                  <w:noWrap w:val="0"/>
                  <w:vAlign w:val="center"/>
                </w:tcPr>
                <w:p>
                  <w:pPr>
                    <w:pStyle w:val="59"/>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由</w:t>
                  </w:r>
                  <w:r>
                    <w:rPr>
                      <w:rFonts w:hint="eastAsia" w:ascii="Times New Roman" w:hAnsi="Times New Roman" w:cs="Times New Roman"/>
                      <w:szCs w:val="21"/>
                      <w:highlight w:val="none"/>
                      <w:lang w:eastAsia="zh-CN"/>
                    </w:rPr>
                    <w:t>里坦镇流源庄村</w:t>
                  </w:r>
                  <w:r>
                    <w:rPr>
                      <w:rFonts w:hint="default" w:ascii="Times New Roman" w:hAnsi="Times New Roman" w:cs="Times New Roman"/>
                      <w:szCs w:val="21"/>
                      <w:highlight w:val="none"/>
                      <w:lang w:eastAsia="zh-CN"/>
                    </w:rPr>
                    <w:t>供水管网</w:t>
                  </w:r>
                  <w:r>
                    <w:rPr>
                      <w:rFonts w:hint="default" w:ascii="Times New Roman" w:hAnsi="Times New Roman" w:cs="Times New Roman"/>
                      <w:szCs w:val="21"/>
                      <w:highlight w:val="none"/>
                    </w:rPr>
                    <w:t>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6" w:type="dxa"/>
                  <w:vMerge w:val="continue"/>
                  <w:noWrap w:val="0"/>
                  <w:vAlign w:val="center"/>
                </w:tcPr>
                <w:p>
                  <w:pPr>
                    <w:pStyle w:val="59"/>
                    <w:spacing w:line="240" w:lineRule="auto"/>
                    <w:rPr>
                      <w:szCs w:val="21"/>
                      <w:highlight w:val="none"/>
                    </w:rPr>
                  </w:pPr>
                </w:p>
              </w:tc>
              <w:tc>
                <w:tcPr>
                  <w:tcW w:w="1299" w:type="dxa"/>
                  <w:noWrap w:val="0"/>
                  <w:vAlign w:val="center"/>
                </w:tcPr>
                <w:p>
                  <w:pPr>
                    <w:pStyle w:val="59"/>
                    <w:spacing w:line="240" w:lineRule="auto"/>
                    <w:rPr>
                      <w:szCs w:val="21"/>
                      <w:highlight w:val="none"/>
                    </w:rPr>
                  </w:pPr>
                  <w:r>
                    <w:rPr>
                      <w:szCs w:val="21"/>
                      <w:highlight w:val="none"/>
                    </w:rPr>
                    <w:t>供电</w:t>
                  </w:r>
                </w:p>
              </w:tc>
              <w:tc>
                <w:tcPr>
                  <w:tcW w:w="6643" w:type="dxa"/>
                  <w:noWrap w:val="0"/>
                  <w:vAlign w:val="center"/>
                </w:tcPr>
                <w:p>
                  <w:pPr>
                    <w:pStyle w:val="59"/>
                    <w:spacing w:line="240" w:lineRule="auto"/>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由</w:t>
                  </w:r>
                  <w:r>
                    <w:rPr>
                      <w:rFonts w:hint="default" w:ascii="Times New Roman" w:hAnsi="Times New Roman" w:cs="Times New Roman"/>
                      <w:szCs w:val="21"/>
                      <w:highlight w:val="none"/>
                      <w:lang w:eastAsia="zh-CN"/>
                    </w:rPr>
                    <w:t>里坦镇</w:t>
                  </w:r>
                  <w:r>
                    <w:rPr>
                      <w:rFonts w:hint="default" w:ascii="Times New Roman" w:hAnsi="Times New Roman" w:cs="Times New Roman"/>
                      <w:highlight w:val="none"/>
                    </w:rPr>
                    <w:t>供电系统提供，年用电</w:t>
                  </w:r>
                  <w:r>
                    <w:rPr>
                      <w:rFonts w:hint="default" w:ascii="Times New Roman" w:hAnsi="Times New Roman" w:cs="Times New Roman"/>
                      <w:color w:val="000000"/>
                      <w:highlight w:val="none"/>
                      <w:lang w:eastAsia="zh-CN"/>
                    </w:rPr>
                    <w:t>0.8万kwh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6" w:type="dxa"/>
                  <w:vMerge w:val="continue"/>
                  <w:noWrap w:val="0"/>
                  <w:vAlign w:val="center"/>
                </w:tcPr>
                <w:p>
                  <w:pPr>
                    <w:pStyle w:val="59"/>
                    <w:spacing w:line="240" w:lineRule="auto"/>
                    <w:rPr>
                      <w:szCs w:val="21"/>
                      <w:highlight w:val="none"/>
                    </w:rPr>
                  </w:pPr>
                </w:p>
              </w:tc>
              <w:tc>
                <w:tcPr>
                  <w:tcW w:w="1299" w:type="dxa"/>
                  <w:noWrap w:val="0"/>
                  <w:vAlign w:val="center"/>
                </w:tcPr>
                <w:p>
                  <w:pPr>
                    <w:pStyle w:val="59"/>
                    <w:spacing w:line="240" w:lineRule="auto"/>
                    <w:rPr>
                      <w:szCs w:val="21"/>
                      <w:highlight w:val="none"/>
                    </w:rPr>
                  </w:pPr>
                  <w:r>
                    <w:rPr>
                      <w:szCs w:val="21"/>
                      <w:highlight w:val="none"/>
                    </w:rPr>
                    <w:t>供热</w:t>
                  </w:r>
                </w:p>
              </w:tc>
              <w:tc>
                <w:tcPr>
                  <w:tcW w:w="6643" w:type="dxa"/>
                  <w:noWrap w:val="0"/>
                  <w:vAlign w:val="center"/>
                </w:tcPr>
                <w:p>
                  <w:pPr>
                    <w:pStyle w:val="59"/>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本项目</w:t>
                  </w:r>
                  <w:r>
                    <w:rPr>
                      <w:rFonts w:hint="default" w:ascii="Times New Roman" w:hAnsi="Times New Roman" w:cs="Times New Roman"/>
                      <w:szCs w:val="21"/>
                      <w:highlight w:val="none"/>
                      <w:lang w:eastAsia="zh-CN"/>
                    </w:rPr>
                    <w:t>生产</w:t>
                  </w:r>
                  <w:r>
                    <w:rPr>
                      <w:rFonts w:hint="eastAsia" w:ascii="Times New Roman" w:hAnsi="Times New Roman" w:cs="Times New Roman"/>
                      <w:szCs w:val="21"/>
                      <w:highlight w:val="none"/>
                      <w:lang w:eastAsia="zh-CN"/>
                    </w:rPr>
                    <w:t>用热由天然气锅炉提供</w:t>
                  </w:r>
                  <w:r>
                    <w:rPr>
                      <w:rFonts w:hint="default" w:ascii="Times New Roman" w:hAnsi="Times New Roman" w:cs="Times New Roman"/>
                      <w:szCs w:val="21"/>
                      <w:highlight w:val="none"/>
                    </w:rPr>
                    <w:t>，冬季职工采用空调取暖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66" w:type="dxa"/>
                  <w:vMerge w:val="restart"/>
                  <w:noWrap w:val="0"/>
                  <w:vAlign w:val="center"/>
                </w:tcPr>
                <w:p>
                  <w:pPr>
                    <w:pStyle w:val="59"/>
                    <w:spacing w:line="240" w:lineRule="auto"/>
                    <w:rPr>
                      <w:szCs w:val="21"/>
                      <w:highlight w:val="none"/>
                    </w:rPr>
                  </w:pPr>
                  <w:r>
                    <w:rPr>
                      <w:szCs w:val="21"/>
                      <w:highlight w:val="none"/>
                    </w:rPr>
                    <w:t>环保工程</w:t>
                  </w:r>
                </w:p>
              </w:tc>
              <w:tc>
                <w:tcPr>
                  <w:tcW w:w="1299" w:type="dxa"/>
                  <w:noWrap w:val="0"/>
                  <w:vAlign w:val="center"/>
                </w:tcPr>
                <w:p>
                  <w:pPr>
                    <w:pStyle w:val="59"/>
                    <w:spacing w:line="240" w:lineRule="auto"/>
                    <w:rPr>
                      <w:szCs w:val="21"/>
                      <w:highlight w:val="none"/>
                    </w:rPr>
                  </w:pPr>
                  <w:r>
                    <w:rPr>
                      <w:szCs w:val="21"/>
                      <w:highlight w:val="none"/>
                    </w:rPr>
                    <w:t>废气</w:t>
                  </w:r>
                </w:p>
              </w:tc>
              <w:tc>
                <w:tcPr>
                  <w:tcW w:w="6643" w:type="dxa"/>
                  <w:noWrap w:val="0"/>
                  <w:vAlign w:val="center"/>
                </w:tcPr>
                <w:p>
                  <w:pPr>
                    <w:pStyle w:val="59"/>
                    <w:spacing w:line="240" w:lineRule="auto"/>
                    <w:rPr>
                      <w:rFonts w:hint="eastAsia"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发泡</w:t>
                  </w:r>
                  <w:r>
                    <w:rPr>
                      <w:rFonts w:hint="eastAsia" w:ascii="Times New Roman" w:hAnsi="Times New Roman" w:eastAsia="宋体" w:cs="Times New Roman"/>
                      <w:szCs w:val="21"/>
                      <w:highlight w:val="none"/>
                      <w:lang w:val="en-US" w:eastAsia="zh-CN"/>
                    </w:rPr>
                    <w:t>、打板、切割</w:t>
                  </w:r>
                  <w:r>
                    <w:rPr>
                      <w:rFonts w:hint="default" w:ascii="Times New Roman" w:hAnsi="Times New Roman" w:eastAsia="宋体" w:cs="Times New Roman"/>
                      <w:szCs w:val="21"/>
                      <w:highlight w:val="none"/>
                      <w:lang w:val="en-US" w:eastAsia="zh-CN"/>
                    </w:rPr>
                    <w:t>过程产生的非甲烷总烃</w:t>
                  </w:r>
                  <w:r>
                    <w:rPr>
                      <w:rFonts w:hint="eastAsia" w:ascii="Times New Roman" w:hAnsi="Times New Roman" w:eastAsia="宋体" w:cs="Times New Roman"/>
                      <w:szCs w:val="21"/>
                      <w:highlight w:val="none"/>
                      <w:lang w:val="en-US" w:eastAsia="zh-CN"/>
                    </w:rPr>
                    <w:t>经集气罩+活性炭吸附+光氧催化设备处理后经15m高排气筒排放；锅炉产生</w:t>
                  </w:r>
                  <w:r>
                    <w:rPr>
                      <w:rFonts w:hint="eastAsia" w:ascii="Times New Roman" w:hAnsi="Times New Roman" w:eastAsia="宋体" w:cs="Times New Roman"/>
                      <w:sz w:val="21"/>
                      <w:szCs w:val="21"/>
                      <w:highlight w:val="none"/>
                      <w:lang w:val="en-US" w:eastAsia="zh-CN"/>
                    </w:rPr>
                    <w:t>的</w:t>
                  </w:r>
                  <w:r>
                    <w:rPr>
                      <w:rFonts w:hint="eastAsia" w:ascii="Times New Roman" w:hAnsi="Times New Roman" w:eastAsia="宋体" w:cs="宋体"/>
                      <w:sz w:val="21"/>
                      <w:szCs w:val="21"/>
                      <w:lang w:val="en-US" w:eastAsia="zh-CN"/>
                    </w:rPr>
                    <w:t>SO</w:t>
                  </w:r>
                  <w:r>
                    <w:rPr>
                      <w:rFonts w:hint="eastAsia" w:ascii="Times New Roman" w:hAnsi="Times New Roman" w:eastAsia="宋体" w:cs="宋体"/>
                      <w:sz w:val="21"/>
                      <w:szCs w:val="21"/>
                      <w:vertAlign w:val="subscript"/>
                      <w:lang w:val="en-US" w:eastAsia="zh-CN"/>
                    </w:rPr>
                    <w:t>2</w:t>
                  </w:r>
                  <w:r>
                    <w:rPr>
                      <w:rFonts w:hint="eastAsia" w:ascii="Times New Roman" w:hAnsi="Times New Roman" w:eastAsia="宋体" w:cs="宋体"/>
                      <w:sz w:val="21"/>
                      <w:szCs w:val="21"/>
                      <w:lang w:val="en-US" w:eastAsia="zh-CN"/>
                    </w:rPr>
                    <w:t>、NO</w:t>
                  </w:r>
                  <w:r>
                    <w:rPr>
                      <w:rFonts w:hint="eastAsia" w:ascii="Times New Roman" w:hAnsi="Times New Roman" w:eastAsia="宋体" w:cs="宋体"/>
                      <w:sz w:val="21"/>
                      <w:szCs w:val="21"/>
                      <w:vertAlign w:val="subscript"/>
                      <w:lang w:val="en-US" w:eastAsia="zh-CN"/>
                    </w:rPr>
                    <w:t>X</w:t>
                  </w:r>
                  <w:r>
                    <w:rPr>
                      <w:rFonts w:hint="eastAsia" w:ascii="Times New Roman" w:hAnsi="Times New Roman" w:eastAsia="宋体" w:cs="宋体"/>
                      <w:sz w:val="21"/>
                      <w:szCs w:val="21"/>
                      <w:lang w:val="en-US" w:eastAsia="zh-CN"/>
                    </w:rPr>
                    <w:t>、颗粒物经15m高排气筒排放（注：办公楼高度为12m）；打浆过程产生的颗粒物经集气罩+布袋除尘器处理后经15m高排气筒排放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066" w:type="dxa"/>
                  <w:vMerge w:val="continue"/>
                  <w:noWrap w:val="0"/>
                  <w:vAlign w:val="center"/>
                </w:tcPr>
                <w:p>
                  <w:pPr>
                    <w:pStyle w:val="59"/>
                    <w:spacing w:line="240" w:lineRule="auto"/>
                    <w:rPr>
                      <w:szCs w:val="21"/>
                      <w:highlight w:val="none"/>
                    </w:rPr>
                  </w:pPr>
                </w:p>
              </w:tc>
              <w:tc>
                <w:tcPr>
                  <w:tcW w:w="1299" w:type="dxa"/>
                  <w:noWrap w:val="0"/>
                  <w:vAlign w:val="center"/>
                </w:tcPr>
                <w:p>
                  <w:pPr>
                    <w:pStyle w:val="59"/>
                    <w:spacing w:line="240" w:lineRule="auto"/>
                    <w:rPr>
                      <w:szCs w:val="21"/>
                      <w:highlight w:val="none"/>
                    </w:rPr>
                  </w:pPr>
                  <w:r>
                    <w:rPr>
                      <w:szCs w:val="21"/>
                      <w:highlight w:val="none"/>
                    </w:rPr>
                    <w:t>废水</w:t>
                  </w:r>
                </w:p>
              </w:tc>
              <w:tc>
                <w:tcPr>
                  <w:tcW w:w="6643" w:type="dxa"/>
                  <w:noWrap w:val="0"/>
                  <w:vAlign w:val="top"/>
                </w:tcPr>
                <w:p>
                  <w:pPr>
                    <w:pStyle w:val="59"/>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lang w:eastAsia="zh-CN"/>
                    </w:rPr>
                    <w:t>蒸汽灌用水，全部随物料带走，最终蒸发；</w:t>
                  </w:r>
                  <w:r>
                    <w:rPr>
                      <w:rFonts w:hint="default" w:ascii="Times New Roman" w:hAnsi="Times New Roman" w:cs="Times New Roman"/>
                      <w:szCs w:val="21"/>
                      <w:highlight w:val="none"/>
                    </w:rPr>
                    <w:t>本项目职工均为附近人员，不设宿舍、食堂、淋浴室等生活设施，生活用水量很少，生活废水主要是职工盥洗废水，水质简单，直接泼洒厂区抑尘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6" w:type="dxa"/>
                  <w:vMerge w:val="continue"/>
                  <w:noWrap w:val="0"/>
                  <w:vAlign w:val="center"/>
                </w:tcPr>
                <w:p>
                  <w:pPr>
                    <w:pStyle w:val="59"/>
                    <w:spacing w:line="240" w:lineRule="auto"/>
                    <w:rPr>
                      <w:szCs w:val="21"/>
                      <w:highlight w:val="none"/>
                    </w:rPr>
                  </w:pPr>
                </w:p>
              </w:tc>
              <w:tc>
                <w:tcPr>
                  <w:tcW w:w="1299" w:type="dxa"/>
                  <w:noWrap w:val="0"/>
                  <w:vAlign w:val="center"/>
                </w:tcPr>
                <w:p>
                  <w:pPr>
                    <w:pStyle w:val="59"/>
                    <w:spacing w:line="240" w:lineRule="auto"/>
                    <w:rPr>
                      <w:szCs w:val="21"/>
                      <w:highlight w:val="none"/>
                    </w:rPr>
                  </w:pPr>
                  <w:r>
                    <w:rPr>
                      <w:szCs w:val="21"/>
                      <w:highlight w:val="none"/>
                    </w:rPr>
                    <w:t>噪声</w:t>
                  </w:r>
                </w:p>
              </w:tc>
              <w:tc>
                <w:tcPr>
                  <w:tcW w:w="6643" w:type="dxa"/>
                  <w:noWrap w:val="0"/>
                  <w:vAlign w:val="center"/>
                </w:tcPr>
                <w:p>
                  <w:pPr>
                    <w:pStyle w:val="59"/>
                    <w:spacing w:line="240" w:lineRule="auto"/>
                    <w:rPr>
                      <w:szCs w:val="21"/>
                      <w:highlight w:val="none"/>
                    </w:rPr>
                  </w:pPr>
                  <w:r>
                    <w:rPr>
                      <w:color w:val="auto"/>
                      <w:szCs w:val="21"/>
                    </w:rPr>
                    <w:t>生产设备置于封闭车间内，基础加装减震垫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6" w:type="dxa"/>
                  <w:vMerge w:val="continue"/>
                  <w:noWrap w:val="0"/>
                  <w:vAlign w:val="center"/>
                </w:tcPr>
                <w:p>
                  <w:pPr>
                    <w:pStyle w:val="59"/>
                    <w:spacing w:line="240" w:lineRule="auto"/>
                    <w:rPr>
                      <w:szCs w:val="21"/>
                      <w:highlight w:val="none"/>
                    </w:rPr>
                  </w:pPr>
                </w:p>
              </w:tc>
              <w:tc>
                <w:tcPr>
                  <w:tcW w:w="1299" w:type="dxa"/>
                  <w:noWrap w:val="0"/>
                  <w:vAlign w:val="center"/>
                </w:tcPr>
                <w:p>
                  <w:pPr>
                    <w:pStyle w:val="59"/>
                    <w:spacing w:line="240" w:lineRule="auto"/>
                    <w:rPr>
                      <w:szCs w:val="21"/>
                      <w:highlight w:val="none"/>
                    </w:rPr>
                  </w:pPr>
                  <w:r>
                    <w:rPr>
                      <w:szCs w:val="21"/>
                      <w:highlight w:val="none"/>
                    </w:rPr>
                    <w:t>固废</w:t>
                  </w:r>
                </w:p>
              </w:tc>
              <w:tc>
                <w:tcPr>
                  <w:tcW w:w="6643" w:type="dxa"/>
                  <w:noWrap w:val="0"/>
                  <w:vAlign w:val="center"/>
                </w:tcPr>
                <w:p>
                  <w:pPr>
                    <w:pStyle w:val="59"/>
                    <w:spacing w:line="240" w:lineRule="auto"/>
                    <w:rPr>
                      <w:szCs w:val="21"/>
                      <w:highlight w:val="none"/>
                    </w:rPr>
                  </w:pPr>
                  <w:r>
                    <w:rPr>
                      <w:rFonts w:hint="eastAsia" w:ascii="Times New Roman" w:hAnsi="Times New Roman" w:eastAsia="宋体" w:cs="Times New Roman"/>
                      <w:color w:val="auto"/>
                      <w:spacing w:val="6"/>
                      <w:szCs w:val="21"/>
                      <w:lang w:eastAsia="zh-CN"/>
                    </w:rPr>
                    <w:t>本项目切割工序产生的废边角料集中收集后外售</w:t>
                  </w:r>
                  <w:r>
                    <w:rPr>
                      <w:rFonts w:hint="eastAsia"/>
                      <w:szCs w:val="21"/>
                      <w:highlight w:val="none"/>
                      <w:lang w:eastAsia="zh-CN"/>
                    </w:rPr>
                    <w:t>；活性炭吸附装置产生的废活性炭暂存于危废间后交给有资质单位处理；</w:t>
                  </w:r>
                  <w:r>
                    <w:rPr>
                      <w:rFonts w:hint="eastAsia"/>
                      <w:szCs w:val="21"/>
                      <w:highlight w:val="none"/>
                    </w:rPr>
                    <w:t>生活办公产生</w:t>
                  </w:r>
                  <w:r>
                    <w:rPr>
                      <w:rFonts w:hint="eastAsia"/>
                      <w:szCs w:val="21"/>
                      <w:highlight w:val="none"/>
                      <w:lang w:eastAsia="zh-CN"/>
                    </w:rPr>
                    <w:t>的</w:t>
                  </w:r>
                  <w:r>
                    <w:rPr>
                      <w:rFonts w:hint="eastAsia"/>
                      <w:szCs w:val="21"/>
                      <w:highlight w:val="none"/>
                    </w:rPr>
                    <w:t>生活垃圾集中收集后由环卫部门统一处理</w:t>
                  </w:r>
                </w:p>
              </w:tc>
            </w:tr>
          </w:tbl>
          <w:p>
            <w:pPr>
              <w:spacing w:line="420" w:lineRule="exact"/>
              <w:jc w:val="center"/>
              <w:rPr>
                <w:rFonts w:hint="eastAsia"/>
                <w:b/>
                <w:sz w:val="24"/>
                <w:highlight w:val="none"/>
                <w:lang w:val="en-US" w:eastAsia="zh-CN"/>
              </w:rPr>
            </w:pPr>
            <w:r>
              <w:rPr>
                <w:b/>
                <w:sz w:val="24"/>
                <w:highlight w:val="none"/>
              </w:rPr>
              <w:t>表</w:t>
            </w:r>
            <w:r>
              <w:rPr>
                <w:rFonts w:hint="eastAsia"/>
                <w:b/>
                <w:sz w:val="24"/>
                <w:highlight w:val="none"/>
                <w:lang w:val="en-US" w:eastAsia="zh-CN"/>
              </w:rPr>
              <w:t>2 主要建筑物一览表</w:t>
            </w:r>
          </w:p>
          <w:tbl>
            <w:tblPr>
              <w:tblStyle w:val="37"/>
              <w:tblW w:w="90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3584"/>
              <w:gridCol w:w="1980"/>
              <w:gridCol w:w="15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845" w:type="dxa"/>
                  <w:noWrap w:val="0"/>
                  <w:vAlign w:val="center"/>
                </w:tcPr>
                <w:p>
                  <w:pPr>
                    <w:widowControl/>
                    <w:jc w:val="center"/>
                    <w:rPr>
                      <w:kern w:val="0"/>
                      <w:szCs w:val="21"/>
                      <w:highlight w:val="none"/>
                    </w:rPr>
                  </w:pPr>
                  <w:r>
                    <w:rPr>
                      <w:kern w:val="0"/>
                      <w:szCs w:val="21"/>
                      <w:highlight w:val="none"/>
                    </w:rPr>
                    <w:t>序号</w:t>
                  </w:r>
                </w:p>
              </w:tc>
              <w:tc>
                <w:tcPr>
                  <w:tcW w:w="3584" w:type="dxa"/>
                  <w:noWrap w:val="0"/>
                  <w:vAlign w:val="center"/>
                </w:tcPr>
                <w:p>
                  <w:pPr>
                    <w:jc w:val="center"/>
                    <w:rPr>
                      <w:rFonts w:hint="eastAsia"/>
                      <w:kern w:val="0"/>
                      <w:szCs w:val="21"/>
                      <w:highlight w:val="none"/>
                    </w:rPr>
                  </w:pPr>
                  <w:r>
                    <w:rPr>
                      <w:rFonts w:hint="eastAsia"/>
                      <w:kern w:val="0"/>
                      <w:szCs w:val="21"/>
                      <w:highlight w:val="none"/>
                    </w:rPr>
                    <w:t>设备名称</w:t>
                  </w:r>
                </w:p>
              </w:tc>
              <w:tc>
                <w:tcPr>
                  <w:tcW w:w="1980" w:type="dxa"/>
                  <w:noWrap w:val="0"/>
                  <w:vAlign w:val="center"/>
                </w:tcPr>
                <w:p>
                  <w:pPr>
                    <w:widowControl/>
                    <w:jc w:val="center"/>
                  </w:pPr>
                  <w:r>
                    <w:rPr>
                      <w:rFonts w:hint="eastAsia"/>
                      <w:kern w:val="0"/>
                      <w:szCs w:val="21"/>
                      <w:highlight w:val="none"/>
                      <w:lang w:eastAsia="zh-CN"/>
                    </w:rPr>
                    <w:t>建筑面积</w:t>
                  </w:r>
                  <w:r>
                    <w:rPr>
                      <w:rFonts w:hint="eastAsia"/>
                      <w:kern w:val="0"/>
                      <w:szCs w:val="21"/>
                      <w:highlight w:val="none"/>
                    </w:rPr>
                    <w:t>（</w:t>
                  </w:r>
                  <w:r>
                    <w:rPr>
                      <w:rFonts w:hint="eastAsia"/>
                      <w:kern w:val="0"/>
                      <w:szCs w:val="21"/>
                      <w:highlight w:val="none"/>
                      <w:lang w:val="en-US" w:eastAsia="zh-CN"/>
                    </w:rPr>
                    <w:t>m</w:t>
                  </w:r>
                  <w:r>
                    <w:rPr>
                      <w:rFonts w:hint="eastAsia"/>
                      <w:kern w:val="0"/>
                      <w:szCs w:val="21"/>
                      <w:highlight w:val="none"/>
                      <w:vertAlign w:val="superscript"/>
                      <w:lang w:val="en-US" w:eastAsia="zh-CN"/>
                    </w:rPr>
                    <w:t>2</w:t>
                  </w:r>
                  <w:r>
                    <w:rPr>
                      <w:rFonts w:hint="eastAsia"/>
                      <w:kern w:val="0"/>
                      <w:szCs w:val="21"/>
                      <w:highlight w:val="none"/>
                    </w:rPr>
                    <w:t>）</w:t>
                  </w:r>
                </w:p>
              </w:tc>
              <w:tc>
                <w:tcPr>
                  <w:tcW w:w="1599" w:type="dxa"/>
                  <w:noWrap w:val="0"/>
                  <w:vAlign w:val="center"/>
                </w:tcPr>
                <w:p>
                  <w:pPr>
                    <w:pStyle w:val="59"/>
                    <w:spacing w:line="240" w:lineRule="auto"/>
                    <w:rPr>
                      <w:rFonts w:hint="eastAsia"/>
                      <w:szCs w:val="21"/>
                      <w:highlight w:val="none"/>
                    </w:rPr>
                  </w:pPr>
                  <w:r>
                    <w:rPr>
                      <w:rFonts w:hint="eastAsia"/>
                      <w:szCs w:val="21"/>
                      <w:highlight w:val="none"/>
                      <w:lang w:eastAsia="zh-CN"/>
                    </w:rPr>
                    <w:t>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845" w:type="dxa"/>
                  <w:noWrap w:val="0"/>
                  <w:vAlign w:val="center"/>
                </w:tcPr>
                <w:p>
                  <w:pPr>
                    <w:widowControl/>
                    <w:jc w:val="center"/>
                    <w:rPr>
                      <w:kern w:val="0"/>
                      <w:szCs w:val="21"/>
                      <w:highlight w:val="none"/>
                    </w:rPr>
                  </w:pPr>
                  <w:r>
                    <w:rPr>
                      <w:kern w:val="0"/>
                      <w:szCs w:val="21"/>
                      <w:highlight w:val="none"/>
                    </w:rPr>
                    <w:t>1</w:t>
                  </w:r>
                </w:p>
              </w:tc>
              <w:tc>
                <w:tcPr>
                  <w:tcW w:w="3584" w:type="dxa"/>
                  <w:noWrap w:val="0"/>
                  <w:vAlign w:val="center"/>
                </w:tcPr>
                <w:p>
                  <w:pPr>
                    <w:pStyle w:val="59"/>
                    <w:spacing w:line="240" w:lineRule="auto"/>
                    <w:rPr>
                      <w:rFonts w:hint="eastAsia"/>
                      <w:szCs w:val="21"/>
                      <w:highlight w:val="none"/>
                      <w:lang w:eastAsia="zh-CN"/>
                    </w:rPr>
                  </w:pPr>
                  <w:r>
                    <w:rPr>
                      <w:rFonts w:hint="eastAsia"/>
                      <w:szCs w:val="21"/>
                      <w:highlight w:val="none"/>
                      <w:lang w:eastAsia="zh-CN"/>
                    </w:rPr>
                    <w:t>生产车间</w:t>
                  </w:r>
                </w:p>
              </w:tc>
              <w:tc>
                <w:tcPr>
                  <w:tcW w:w="1980" w:type="dxa"/>
                  <w:noWrap w:val="0"/>
                  <w:vAlign w:val="center"/>
                </w:tcPr>
                <w:p>
                  <w:pPr>
                    <w:pStyle w:val="87"/>
                    <w:spacing w:line="360" w:lineRule="auto"/>
                    <w:ind w:firstLine="0" w:firstLineChars="0"/>
                    <w:jc w:val="center"/>
                    <w:rPr>
                      <w:lang w:val="en-US"/>
                    </w:rPr>
                  </w:pPr>
                  <w:r>
                    <w:rPr>
                      <w:rFonts w:hint="eastAsia"/>
                      <w:kern w:val="0"/>
                      <w:szCs w:val="21"/>
                      <w:highlight w:val="none"/>
                      <w:lang w:val="en-US" w:eastAsia="zh-CN"/>
                    </w:rPr>
                    <w:t>1295</w:t>
                  </w:r>
                </w:p>
              </w:tc>
              <w:tc>
                <w:tcPr>
                  <w:tcW w:w="1599" w:type="dxa"/>
                  <w:noWrap w:val="0"/>
                  <w:vAlign w:val="center"/>
                </w:tcPr>
                <w:p>
                  <w:pPr>
                    <w:pStyle w:val="59"/>
                    <w:spacing w:line="240" w:lineRule="auto"/>
                    <w:rPr>
                      <w:rFonts w:hint="eastAsia"/>
                      <w:szCs w:val="21"/>
                      <w:highlight w:val="none"/>
                      <w:lang w:eastAsia="zh-CN"/>
                    </w:rPr>
                  </w:pPr>
                  <w:r>
                    <w:rPr>
                      <w:rFonts w:hint="eastAsia"/>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45"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2</w:t>
                  </w:r>
                </w:p>
              </w:tc>
              <w:tc>
                <w:tcPr>
                  <w:tcW w:w="3584"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库房</w:t>
                  </w:r>
                </w:p>
              </w:tc>
              <w:tc>
                <w:tcPr>
                  <w:tcW w:w="1980" w:type="dxa"/>
                  <w:noWrap w:val="0"/>
                  <w:vAlign w:val="center"/>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100</w:t>
                  </w:r>
                </w:p>
              </w:tc>
              <w:tc>
                <w:tcPr>
                  <w:tcW w:w="1599" w:type="dxa"/>
                  <w:noWrap w:val="0"/>
                  <w:vAlign w:val="center"/>
                </w:tcPr>
                <w:p>
                  <w:pPr>
                    <w:pStyle w:val="59"/>
                    <w:spacing w:line="240" w:lineRule="auto"/>
                    <w:rPr>
                      <w:rFonts w:hint="eastAsia"/>
                      <w:szCs w:val="21"/>
                      <w:highlight w:val="none"/>
                      <w:lang w:eastAsia="zh-CN"/>
                    </w:rPr>
                  </w:pPr>
                  <w:r>
                    <w:rPr>
                      <w:rFonts w:hint="eastAsia"/>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45"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c>
                <w:tcPr>
                  <w:tcW w:w="3584"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附属用房</w:t>
                  </w:r>
                </w:p>
              </w:tc>
              <w:tc>
                <w:tcPr>
                  <w:tcW w:w="1980" w:type="dxa"/>
                  <w:noWrap w:val="0"/>
                  <w:vAlign w:val="center"/>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200</w:t>
                  </w:r>
                </w:p>
              </w:tc>
              <w:tc>
                <w:tcPr>
                  <w:tcW w:w="1599" w:type="dxa"/>
                  <w:noWrap w:val="0"/>
                  <w:vAlign w:val="center"/>
                </w:tcPr>
                <w:p>
                  <w:pPr>
                    <w:pStyle w:val="59"/>
                    <w:spacing w:line="240" w:lineRule="auto"/>
                    <w:rPr>
                      <w:rFonts w:hint="eastAsia"/>
                      <w:szCs w:val="21"/>
                      <w:highlight w:val="none"/>
                      <w:lang w:eastAsia="zh-CN"/>
                    </w:rPr>
                  </w:pPr>
                  <w:r>
                    <w:rPr>
                      <w:rFonts w:hint="eastAsia"/>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45"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4</w:t>
                  </w:r>
                </w:p>
              </w:tc>
              <w:tc>
                <w:tcPr>
                  <w:tcW w:w="3584"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行政办公及生活用房</w:t>
                  </w:r>
                </w:p>
              </w:tc>
              <w:tc>
                <w:tcPr>
                  <w:tcW w:w="1980" w:type="dxa"/>
                  <w:noWrap w:val="0"/>
                  <w:vAlign w:val="center"/>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100</w:t>
                  </w:r>
                </w:p>
              </w:tc>
              <w:tc>
                <w:tcPr>
                  <w:tcW w:w="1599"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45"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5</w:t>
                  </w:r>
                </w:p>
              </w:tc>
              <w:tc>
                <w:tcPr>
                  <w:tcW w:w="3584"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危废间</w:t>
                  </w:r>
                </w:p>
              </w:tc>
              <w:tc>
                <w:tcPr>
                  <w:tcW w:w="1980" w:type="dxa"/>
                  <w:noWrap w:val="0"/>
                  <w:vAlign w:val="center"/>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5</w:t>
                  </w:r>
                </w:p>
              </w:tc>
              <w:tc>
                <w:tcPr>
                  <w:tcW w:w="1599" w:type="dxa"/>
                  <w:noWrap w:val="0"/>
                  <w:vAlign w:val="center"/>
                </w:tcPr>
                <w:p>
                  <w:pPr>
                    <w:pStyle w:val="59"/>
                    <w:spacing w:line="240" w:lineRule="auto"/>
                    <w:rPr>
                      <w:rFonts w:hint="eastAsia"/>
                      <w:szCs w:val="21"/>
                      <w:highlight w:val="none"/>
                      <w:lang w:val="en-US" w:eastAsia="zh-CN"/>
                    </w:rPr>
                  </w:pPr>
                  <w:r>
                    <w:rPr>
                      <w:rFonts w:hint="eastAsia"/>
                      <w:szCs w:val="21"/>
                      <w:highlight w:val="none"/>
                      <w:lang w:val="en-US" w:eastAsia="zh-CN"/>
                    </w:rPr>
                    <w:t>1</w:t>
                  </w:r>
                </w:p>
              </w:tc>
            </w:tr>
          </w:tbl>
          <w:p>
            <w:pPr>
              <w:spacing w:line="420" w:lineRule="exact"/>
              <w:ind w:firstLine="482" w:firstLineChars="200"/>
              <w:rPr>
                <w:rFonts w:hint="eastAsia"/>
                <w:b/>
                <w:bCs/>
                <w:sz w:val="24"/>
                <w:highlight w:val="none"/>
                <w:lang w:val="en-US" w:eastAsia="zh-CN"/>
              </w:rPr>
            </w:pPr>
            <w:r>
              <w:rPr>
                <w:rFonts w:hint="eastAsia"/>
                <w:b/>
                <w:bCs/>
                <w:sz w:val="24"/>
                <w:highlight w:val="none"/>
                <w:lang w:val="en-US" w:eastAsia="zh-CN"/>
              </w:rPr>
              <w:t>5、主要生产设备</w:t>
            </w:r>
          </w:p>
          <w:p>
            <w:pPr>
              <w:spacing w:line="480" w:lineRule="exact"/>
              <w:ind w:firstLine="512" w:firstLineChars="200"/>
              <w:rPr>
                <w:b/>
                <w:spacing w:val="8"/>
                <w:sz w:val="24"/>
                <w:highlight w:val="none"/>
              </w:rPr>
            </w:pPr>
            <w:r>
              <w:rPr>
                <w:bCs/>
                <w:spacing w:val="8"/>
                <w:sz w:val="24"/>
                <w:highlight w:val="none"/>
              </w:rPr>
              <w:t>本项目主要生产设备详见表</w:t>
            </w:r>
            <w:r>
              <w:rPr>
                <w:rFonts w:hint="eastAsia"/>
                <w:bCs/>
                <w:spacing w:val="8"/>
                <w:sz w:val="24"/>
                <w:highlight w:val="none"/>
                <w:lang w:val="en-US" w:eastAsia="zh-CN"/>
              </w:rPr>
              <w:t>3</w:t>
            </w:r>
            <w:r>
              <w:rPr>
                <w:bCs/>
                <w:spacing w:val="8"/>
                <w:sz w:val="24"/>
                <w:highlight w:val="none"/>
              </w:rPr>
              <w:t>。</w:t>
            </w:r>
          </w:p>
          <w:p>
            <w:pPr>
              <w:jc w:val="center"/>
              <w:rPr>
                <w:b/>
                <w:spacing w:val="8"/>
                <w:sz w:val="24"/>
                <w:highlight w:val="none"/>
              </w:rPr>
            </w:pPr>
            <w:r>
              <w:rPr>
                <w:b/>
                <w:spacing w:val="8"/>
                <w:sz w:val="24"/>
                <w:highlight w:val="none"/>
              </w:rPr>
              <w:t>表</w:t>
            </w:r>
            <w:r>
              <w:rPr>
                <w:rFonts w:hint="eastAsia"/>
                <w:b/>
                <w:spacing w:val="8"/>
                <w:sz w:val="24"/>
                <w:highlight w:val="none"/>
                <w:lang w:val="en-US" w:eastAsia="zh-CN"/>
              </w:rPr>
              <w:t>3</w:t>
            </w:r>
            <w:r>
              <w:rPr>
                <w:b/>
                <w:spacing w:val="8"/>
                <w:sz w:val="24"/>
                <w:highlight w:val="none"/>
              </w:rPr>
              <w:t xml:space="preserve"> 主要生产设备一览表</w:t>
            </w:r>
          </w:p>
          <w:tbl>
            <w:tblPr>
              <w:tblStyle w:val="37"/>
              <w:tblW w:w="896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460"/>
              <w:gridCol w:w="2786"/>
              <w:gridCol w:w="2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46" w:type="dxa"/>
                  <w:noWrap w:val="0"/>
                  <w:vAlign w:val="center"/>
                </w:tcPr>
                <w:p>
                  <w:pPr>
                    <w:widowControl/>
                    <w:jc w:val="center"/>
                    <w:rPr>
                      <w:kern w:val="0"/>
                      <w:szCs w:val="21"/>
                      <w:highlight w:val="none"/>
                    </w:rPr>
                  </w:pPr>
                  <w:r>
                    <w:rPr>
                      <w:kern w:val="0"/>
                      <w:szCs w:val="21"/>
                      <w:highlight w:val="none"/>
                    </w:rPr>
                    <w:t>序号</w:t>
                  </w:r>
                </w:p>
              </w:tc>
              <w:tc>
                <w:tcPr>
                  <w:tcW w:w="2460" w:type="dxa"/>
                  <w:noWrap w:val="0"/>
                  <w:vAlign w:val="center"/>
                </w:tcPr>
                <w:p>
                  <w:pPr>
                    <w:jc w:val="center"/>
                    <w:rPr>
                      <w:rFonts w:hint="eastAsia"/>
                      <w:kern w:val="0"/>
                      <w:szCs w:val="21"/>
                      <w:highlight w:val="none"/>
                    </w:rPr>
                  </w:pPr>
                  <w:r>
                    <w:rPr>
                      <w:rFonts w:hint="eastAsia"/>
                      <w:kern w:val="0"/>
                      <w:szCs w:val="21"/>
                      <w:highlight w:val="none"/>
                    </w:rPr>
                    <w:t>设备名称</w:t>
                  </w:r>
                </w:p>
              </w:tc>
              <w:tc>
                <w:tcPr>
                  <w:tcW w:w="2786" w:type="dxa"/>
                  <w:noWrap w:val="0"/>
                  <w:vAlign w:val="center"/>
                </w:tcPr>
                <w:p>
                  <w:pPr>
                    <w:widowControl/>
                    <w:jc w:val="center"/>
                  </w:pPr>
                  <w:r>
                    <w:rPr>
                      <w:kern w:val="0"/>
                      <w:szCs w:val="21"/>
                      <w:highlight w:val="none"/>
                    </w:rPr>
                    <w:t>数量</w:t>
                  </w:r>
                  <w:r>
                    <w:rPr>
                      <w:rFonts w:hint="eastAsia"/>
                      <w:kern w:val="0"/>
                      <w:szCs w:val="21"/>
                      <w:highlight w:val="none"/>
                    </w:rPr>
                    <w:t>（台/套）</w:t>
                  </w:r>
                </w:p>
              </w:tc>
              <w:tc>
                <w:tcPr>
                  <w:tcW w:w="2777" w:type="dxa"/>
                  <w:noWrap w:val="0"/>
                  <w:vAlign w:val="center"/>
                </w:tcPr>
                <w:p>
                  <w:pPr>
                    <w:widowControl/>
                    <w:jc w:val="center"/>
                    <w:rPr>
                      <w:rFonts w:hint="eastAsia" w:eastAsia="宋体"/>
                      <w:kern w:val="0"/>
                      <w:szCs w:val="21"/>
                      <w:highlight w:val="none"/>
                      <w:lang w:eastAsia="zh-CN"/>
                    </w:rPr>
                  </w:pPr>
                  <w:r>
                    <w:rPr>
                      <w:rFonts w:hint="eastAsia"/>
                      <w:kern w:val="0"/>
                      <w:szCs w:val="21"/>
                      <w:highlight w:val="none"/>
                      <w:lang w:eastAsia="zh-CN"/>
                    </w:rPr>
                    <w:t>型号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kern w:val="0"/>
                      <w:szCs w:val="21"/>
                      <w:highlight w:val="none"/>
                    </w:rPr>
                  </w:pPr>
                  <w:r>
                    <w:rPr>
                      <w:kern w:val="0"/>
                      <w:szCs w:val="21"/>
                      <w:highlight w:val="none"/>
                    </w:rPr>
                    <w:t>1</w:t>
                  </w:r>
                </w:p>
              </w:tc>
              <w:tc>
                <w:tcPr>
                  <w:tcW w:w="2460" w:type="dxa"/>
                  <w:noWrap w:val="0"/>
                  <w:vAlign w:val="top"/>
                </w:tcPr>
                <w:p>
                  <w:pPr>
                    <w:spacing w:line="360" w:lineRule="auto"/>
                    <w:ind w:firstLine="0" w:firstLineChars="0"/>
                    <w:jc w:val="center"/>
                    <w:rPr>
                      <w:rFonts w:hint="eastAsia" w:eastAsia="宋体"/>
                      <w:kern w:val="0"/>
                      <w:szCs w:val="21"/>
                      <w:highlight w:val="none"/>
                      <w:lang w:val="en-US" w:eastAsia="zh-CN"/>
                    </w:rPr>
                  </w:pPr>
                  <w:r>
                    <w:rPr>
                      <w:rFonts w:hint="eastAsia"/>
                    </w:rPr>
                    <w:t>发泡机</w:t>
                  </w:r>
                </w:p>
              </w:tc>
              <w:tc>
                <w:tcPr>
                  <w:tcW w:w="2786" w:type="dxa"/>
                  <w:noWrap w:val="0"/>
                  <w:vAlign w:val="top"/>
                </w:tcPr>
                <w:p>
                  <w:pPr>
                    <w:pStyle w:val="87"/>
                    <w:spacing w:line="360" w:lineRule="auto"/>
                    <w:ind w:firstLine="0" w:firstLineChars="0"/>
                    <w:jc w:val="center"/>
                  </w:pPr>
                  <w:r>
                    <w:rPr>
                      <w:rFonts w:hint="eastAsia"/>
                      <w:kern w:val="0"/>
                      <w:szCs w:val="21"/>
                      <w:highlight w:val="none"/>
                      <w:lang w:val="en-US" w:eastAsia="zh-CN"/>
                    </w:rPr>
                    <w:t>1</w:t>
                  </w:r>
                </w:p>
              </w:tc>
              <w:tc>
                <w:tcPr>
                  <w:tcW w:w="2777"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2</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打板机</w:t>
                  </w:r>
                </w:p>
              </w:tc>
              <w:tc>
                <w:tcPr>
                  <w:tcW w:w="2786" w:type="dxa"/>
                  <w:noWrap w:val="0"/>
                  <w:vAlign w:val="top"/>
                </w:tcPr>
                <w:p>
                  <w:pPr>
                    <w:pStyle w:val="87"/>
                    <w:spacing w:line="360" w:lineRule="auto"/>
                    <w:ind w:firstLine="0" w:firstLineChars="0"/>
                    <w:jc w:val="cente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3</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抽真空气罐</w:t>
                  </w:r>
                </w:p>
              </w:tc>
              <w:tc>
                <w:tcPr>
                  <w:tcW w:w="2786" w:type="dxa"/>
                  <w:noWrap w:val="0"/>
                  <w:vAlign w:val="top"/>
                </w:tcPr>
                <w:p>
                  <w:pPr>
                    <w:pStyle w:val="87"/>
                    <w:spacing w:line="360" w:lineRule="auto"/>
                    <w:ind w:firstLine="0" w:firstLineChars="0"/>
                    <w:jc w:val="cente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4</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螺杆空压机</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5</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空压机储气罐</w:t>
                  </w:r>
                </w:p>
              </w:tc>
              <w:tc>
                <w:tcPr>
                  <w:tcW w:w="2786" w:type="dxa"/>
                  <w:noWrap w:val="0"/>
                  <w:vAlign w:val="top"/>
                </w:tcPr>
                <w:p>
                  <w:pPr>
                    <w:pStyle w:val="87"/>
                    <w:spacing w:line="360" w:lineRule="auto"/>
                    <w:ind w:firstLine="0" w:firstLineChars="0"/>
                    <w:jc w:val="cente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6</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蒸汽储气罐</w:t>
                  </w:r>
                </w:p>
              </w:tc>
              <w:tc>
                <w:tcPr>
                  <w:tcW w:w="2786" w:type="dxa"/>
                  <w:noWrap w:val="0"/>
                  <w:vAlign w:val="top"/>
                </w:tcPr>
                <w:p>
                  <w:pPr>
                    <w:pStyle w:val="87"/>
                    <w:spacing w:line="360" w:lineRule="auto"/>
                    <w:ind w:firstLine="0" w:firstLineChars="0"/>
                    <w:jc w:val="cente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7</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lang w:eastAsia="zh-CN"/>
                    </w:rPr>
                    <w:t>燃气</w:t>
                  </w:r>
                  <w:r>
                    <w:rPr>
                      <w:rFonts w:hint="eastAsia"/>
                    </w:rPr>
                    <w:t>锅炉</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2t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8</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保温板切割机</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3</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9</w:t>
                  </w:r>
                </w:p>
              </w:tc>
              <w:tc>
                <w:tcPr>
                  <w:tcW w:w="2460" w:type="dxa"/>
                  <w:noWrap w:val="0"/>
                  <w:vAlign w:val="top"/>
                </w:tcPr>
                <w:p>
                  <w:pPr>
                    <w:spacing w:line="360" w:lineRule="auto"/>
                    <w:ind w:firstLine="0" w:firstLineChars="0"/>
                    <w:jc w:val="center"/>
                    <w:rPr>
                      <w:rFonts w:hint="eastAsia" w:eastAsia="宋体"/>
                      <w:kern w:val="0"/>
                      <w:szCs w:val="21"/>
                      <w:highlight w:val="none"/>
                      <w:lang w:val="en-US" w:eastAsia="zh-CN"/>
                    </w:rPr>
                  </w:pPr>
                  <w:r>
                    <w:rPr>
                      <w:rFonts w:hint="eastAsia"/>
                    </w:rPr>
                    <w:t>烘干</w:t>
                  </w:r>
                  <w:r>
                    <w:rPr>
                      <w:rFonts w:hint="eastAsia"/>
                      <w:lang w:eastAsia="zh-CN"/>
                    </w:rPr>
                    <w:t>养护室</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10</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料仓</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8</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11</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包装机</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12</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变压器</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13</w:t>
                  </w:r>
                </w:p>
              </w:tc>
              <w:tc>
                <w:tcPr>
                  <w:tcW w:w="2460" w:type="dxa"/>
                  <w:noWrap w:val="0"/>
                  <w:vAlign w:val="top"/>
                </w:tcPr>
                <w:p>
                  <w:pPr>
                    <w:spacing w:line="360" w:lineRule="auto"/>
                    <w:ind w:firstLine="0" w:firstLineChars="0"/>
                    <w:jc w:val="center"/>
                    <w:rPr>
                      <w:rFonts w:hint="eastAsia"/>
                      <w:kern w:val="0"/>
                      <w:szCs w:val="21"/>
                      <w:highlight w:val="none"/>
                      <w:lang w:val="en-US" w:eastAsia="zh-CN"/>
                    </w:rPr>
                  </w:pPr>
                  <w:r>
                    <w:rPr>
                      <w:rFonts w:hint="eastAsia"/>
                    </w:rPr>
                    <w:t>叉车</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46" w:type="dxa"/>
                  <w:noWrap w:val="0"/>
                  <w:vAlign w:val="center"/>
                </w:tcPr>
                <w:p>
                  <w:pPr>
                    <w:widowControl/>
                    <w:jc w:val="center"/>
                    <w:rPr>
                      <w:rFonts w:hint="eastAsia"/>
                      <w:kern w:val="0"/>
                      <w:szCs w:val="21"/>
                      <w:highlight w:val="none"/>
                      <w:lang w:val="en-US" w:eastAsia="zh-CN"/>
                    </w:rPr>
                  </w:pPr>
                  <w:r>
                    <w:rPr>
                      <w:rFonts w:hint="eastAsia"/>
                      <w:kern w:val="0"/>
                      <w:szCs w:val="21"/>
                      <w:highlight w:val="none"/>
                      <w:lang w:val="en-US" w:eastAsia="zh-CN"/>
                    </w:rPr>
                    <w:t>14</w:t>
                  </w:r>
                </w:p>
              </w:tc>
              <w:tc>
                <w:tcPr>
                  <w:tcW w:w="2460" w:type="dxa"/>
                  <w:noWrap w:val="0"/>
                  <w:vAlign w:val="top"/>
                </w:tcPr>
                <w:p>
                  <w:pPr>
                    <w:spacing w:line="360" w:lineRule="auto"/>
                    <w:ind w:firstLine="0" w:firstLineChars="0"/>
                    <w:jc w:val="center"/>
                    <w:rPr>
                      <w:rFonts w:hint="eastAsia" w:eastAsia="宋体"/>
                      <w:lang w:eastAsia="zh-CN"/>
                    </w:rPr>
                  </w:pPr>
                  <w:r>
                    <w:rPr>
                      <w:rFonts w:hint="eastAsia"/>
                      <w:lang w:eastAsia="zh-CN"/>
                    </w:rPr>
                    <w:t>渗透机</w:t>
                  </w:r>
                </w:p>
              </w:tc>
              <w:tc>
                <w:tcPr>
                  <w:tcW w:w="2786" w:type="dxa"/>
                  <w:noWrap w:val="0"/>
                  <w:vAlign w:val="top"/>
                </w:tcPr>
                <w:p>
                  <w:pPr>
                    <w:pStyle w:val="87"/>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1</w:t>
                  </w:r>
                </w:p>
              </w:tc>
              <w:tc>
                <w:tcPr>
                  <w:tcW w:w="2777" w:type="dxa"/>
                  <w:noWrap w:val="0"/>
                  <w:vAlign w:val="top"/>
                </w:tcPr>
                <w:p>
                  <w:pPr>
                    <w:spacing w:line="360" w:lineRule="auto"/>
                    <w:ind w:firstLine="0" w:firstLineChars="0"/>
                    <w:jc w:val="center"/>
                    <w:rPr>
                      <w:rFonts w:hint="eastAsia"/>
                      <w:kern w:val="0"/>
                      <w:szCs w:val="21"/>
                      <w:highlight w:val="none"/>
                      <w:lang w:val="en-US" w:eastAsia="zh-CN"/>
                    </w:rPr>
                  </w:pPr>
                  <w:r>
                    <w:rPr>
                      <w:rFonts w:hint="eastAsia"/>
                      <w:kern w:val="0"/>
                      <w:szCs w:val="21"/>
                      <w:highlight w:val="none"/>
                      <w:lang w:val="en-US" w:eastAsia="zh-CN"/>
                    </w:rPr>
                    <w:t>/</w:t>
                  </w:r>
                </w:p>
              </w:tc>
            </w:tr>
          </w:tbl>
          <w:p>
            <w:pPr>
              <w:spacing w:line="420" w:lineRule="exact"/>
              <w:ind w:firstLine="514" w:firstLineChars="200"/>
              <w:rPr>
                <w:b/>
                <w:bCs w:val="0"/>
                <w:spacing w:val="8"/>
                <w:sz w:val="24"/>
                <w:highlight w:val="none"/>
              </w:rPr>
            </w:pPr>
            <w:r>
              <w:rPr>
                <w:rFonts w:hint="eastAsia"/>
                <w:b/>
                <w:bCs w:val="0"/>
                <w:spacing w:val="8"/>
                <w:sz w:val="24"/>
                <w:highlight w:val="none"/>
                <w:lang w:val="en-US" w:eastAsia="zh-CN"/>
              </w:rPr>
              <w:t>6</w:t>
            </w:r>
            <w:r>
              <w:rPr>
                <w:b/>
                <w:bCs w:val="0"/>
                <w:spacing w:val="8"/>
                <w:sz w:val="24"/>
                <w:highlight w:val="none"/>
              </w:rPr>
              <w:t>、项目原材料及能源消耗</w:t>
            </w:r>
          </w:p>
          <w:p>
            <w:pPr>
              <w:spacing w:line="360" w:lineRule="auto"/>
              <w:ind w:firstLine="549" w:firstLineChars="229"/>
              <w:rPr>
                <w:sz w:val="24"/>
                <w:highlight w:val="none"/>
              </w:rPr>
            </w:pPr>
            <w:r>
              <w:rPr>
                <w:sz w:val="24"/>
                <w:highlight w:val="none"/>
              </w:rPr>
              <w:t>主要项目原辅材料用量及能源消耗量见表</w:t>
            </w:r>
            <w:r>
              <w:rPr>
                <w:rFonts w:hint="eastAsia"/>
                <w:sz w:val="24"/>
                <w:highlight w:val="none"/>
                <w:lang w:val="en-US" w:eastAsia="zh-CN"/>
              </w:rPr>
              <w:t>4</w:t>
            </w:r>
            <w:r>
              <w:rPr>
                <w:sz w:val="24"/>
                <w:highlight w:val="none"/>
              </w:rPr>
              <w:t>。</w:t>
            </w:r>
          </w:p>
          <w:p>
            <w:pPr>
              <w:jc w:val="center"/>
              <w:rPr>
                <w:b/>
                <w:spacing w:val="8"/>
                <w:sz w:val="24"/>
                <w:highlight w:val="none"/>
              </w:rPr>
            </w:pPr>
            <w:r>
              <w:rPr>
                <w:b/>
                <w:spacing w:val="8"/>
                <w:sz w:val="24"/>
                <w:highlight w:val="none"/>
              </w:rPr>
              <w:t>表</w:t>
            </w:r>
            <w:r>
              <w:rPr>
                <w:rFonts w:hint="eastAsia"/>
                <w:b/>
                <w:spacing w:val="8"/>
                <w:sz w:val="24"/>
                <w:highlight w:val="none"/>
                <w:lang w:val="en-US" w:eastAsia="zh-CN"/>
              </w:rPr>
              <w:t>4</w:t>
            </w:r>
            <w:r>
              <w:rPr>
                <w:b/>
                <w:spacing w:val="8"/>
                <w:sz w:val="24"/>
                <w:highlight w:val="none"/>
              </w:rPr>
              <w:t xml:space="preserve">   原材料及能源消耗表</w:t>
            </w:r>
          </w:p>
          <w:tbl>
            <w:tblPr>
              <w:tblStyle w:val="37"/>
              <w:tblW w:w="90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529"/>
              <w:gridCol w:w="1483"/>
              <w:gridCol w:w="1076"/>
              <w:gridCol w:w="32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szCs w:val="21"/>
                      <w:highlight w:val="none"/>
                    </w:rPr>
                  </w:pPr>
                  <w:r>
                    <w:rPr>
                      <w:szCs w:val="21"/>
                      <w:highlight w:val="none"/>
                    </w:rPr>
                    <w:t>序号</w:t>
                  </w:r>
                </w:p>
              </w:tc>
              <w:tc>
                <w:tcPr>
                  <w:tcW w:w="2529" w:type="dxa"/>
                  <w:noWrap w:val="0"/>
                  <w:vAlign w:val="center"/>
                </w:tcPr>
                <w:p>
                  <w:pPr>
                    <w:pStyle w:val="7"/>
                    <w:spacing w:after="0"/>
                    <w:ind w:firstLine="0" w:firstLineChars="0"/>
                    <w:jc w:val="center"/>
                    <w:rPr>
                      <w:sz w:val="21"/>
                      <w:szCs w:val="21"/>
                      <w:highlight w:val="none"/>
                    </w:rPr>
                  </w:pPr>
                  <w:r>
                    <w:rPr>
                      <w:sz w:val="21"/>
                      <w:szCs w:val="21"/>
                      <w:highlight w:val="none"/>
                    </w:rPr>
                    <w:t>名称</w:t>
                  </w:r>
                </w:p>
              </w:tc>
              <w:tc>
                <w:tcPr>
                  <w:tcW w:w="1483" w:type="dxa"/>
                  <w:noWrap w:val="0"/>
                  <w:vAlign w:val="center"/>
                </w:tcPr>
                <w:p>
                  <w:pPr>
                    <w:jc w:val="center"/>
                    <w:rPr>
                      <w:szCs w:val="21"/>
                      <w:highlight w:val="none"/>
                    </w:rPr>
                  </w:pPr>
                  <w:r>
                    <w:rPr>
                      <w:szCs w:val="21"/>
                      <w:highlight w:val="none"/>
                    </w:rPr>
                    <w:t>单位</w:t>
                  </w:r>
                </w:p>
              </w:tc>
              <w:tc>
                <w:tcPr>
                  <w:tcW w:w="1076" w:type="dxa"/>
                  <w:noWrap w:val="0"/>
                  <w:vAlign w:val="center"/>
                </w:tcPr>
                <w:p>
                  <w:pPr>
                    <w:jc w:val="center"/>
                    <w:rPr>
                      <w:szCs w:val="21"/>
                      <w:highlight w:val="none"/>
                    </w:rPr>
                  </w:pPr>
                  <w:r>
                    <w:rPr>
                      <w:szCs w:val="21"/>
                      <w:highlight w:val="none"/>
                    </w:rPr>
                    <w:t>用量</w:t>
                  </w:r>
                </w:p>
              </w:tc>
              <w:tc>
                <w:tcPr>
                  <w:tcW w:w="3241" w:type="dxa"/>
                  <w:noWrap w:val="0"/>
                  <w:vAlign w:val="center"/>
                </w:tcPr>
                <w:p>
                  <w:pPr>
                    <w:jc w:val="center"/>
                    <w:rPr>
                      <w:szCs w:val="21"/>
                      <w:highlight w:val="none"/>
                    </w:rPr>
                  </w:pPr>
                  <w:r>
                    <w:rPr>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szCs w:val="21"/>
                      <w:highlight w:val="none"/>
                    </w:rPr>
                  </w:pPr>
                  <w:r>
                    <w:rPr>
                      <w:szCs w:val="21"/>
                      <w:highlight w:val="none"/>
                    </w:rPr>
                    <w:t>1</w:t>
                  </w:r>
                </w:p>
              </w:tc>
              <w:tc>
                <w:tcPr>
                  <w:tcW w:w="2529" w:type="dxa"/>
                  <w:noWrap w:val="0"/>
                  <w:vAlign w:val="center"/>
                </w:tcPr>
                <w:p>
                  <w:pPr>
                    <w:adjustRightInd w:val="0"/>
                    <w:snapToGrid w:val="0"/>
                    <w:spacing w:line="320" w:lineRule="exact"/>
                    <w:jc w:val="center"/>
                    <w:rPr>
                      <w:rFonts w:hint="eastAsia" w:eastAsia="宋体"/>
                      <w:sz w:val="21"/>
                      <w:szCs w:val="21"/>
                      <w:highlight w:val="none"/>
                      <w:lang w:val="en-US" w:eastAsia="zh-CN"/>
                    </w:rPr>
                  </w:pPr>
                  <w:r>
                    <w:rPr>
                      <w:rFonts w:hint="eastAsia" w:ascii="Times New Roman" w:hAnsi="Times New Roman" w:eastAsia="宋体" w:cs="Times New Roman"/>
                      <w:spacing w:val="6"/>
                      <w:szCs w:val="21"/>
                      <w:lang w:val="en-US" w:eastAsia="zh-CN"/>
                    </w:rPr>
                    <w:t>EPS颗粒</w:t>
                  </w:r>
                </w:p>
              </w:tc>
              <w:tc>
                <w:tcPr>
                  <w:tcW w:w="1483" w:type="dxa"/>
                  <w:noWrap w:val="0"/>
                  <w:vAlign w:val="center"/>
                </w:tcPr>
                <w:p>
                  <w:pPr>
                    <w:adjustRightInd w:val="0"/>
                    <w:snapToGrid w:val="0"/>
                    <w:spacing w:line="320" w:lineRule="exact"/>
                    <w:jc w:val="center"/>
                    <w:rPr>
                      <w:sz w:val="21"/>
                      <w:szCs w:val="21"/>
                      <w:highlight w:val="none"/>
                    </w:rPr>
                  </w:pPr>
                  <w:r>
                    <w:rPr>
                      <w:rFonts w:hint="eastAsia" w:ascii="Times New Roman" w:hAnsi="Times New Roman" w:eastAsia="宋体" w:cs="Times New Roman"/>
                      <w:spacing w:val="6"/>
                      <w:szCs w:val="21"/>
                      <w:lang w:eastAsia="zh-CN"/>
                    </w:rPr>
                    <w:t>吨</w:t>
                  </w:r>
                  <w:r>
                    <w:rPr>
                      <w:rFonts w:hint="eastAsia" w:ascii="Times New Roman" w:hAnsi="Times New Roman" w:eastAsia="宋体" w:cs="Times New Roman"/>
                      <w:spacing w:val="6"/>
                      <w:szCs w:val="21"/>
                    </w:rPr>
                    <w:t>/年</w:t>
                  </w:r>
                </w:p>
              </w:tc>
              <w:tc>
                <w:tcPr>
                  <w:tcW w:w="1076" w:type="dxa"/>
                  <w:noWrap w:val="0"/>
                  <w:vAlign w:val="center"/>
                </w:tcPr>
                <w:p>
                  <w:pPr>
                    <w:adjustRightInd w:val="0"/>
                    <w:snapToGrid w:val="0"/>
                    <w:spacing w:line="320" w:lineRule="exact"/>
                    <w:jc w:val="center"/>
                    <w:rPr>
                      <w:rFonts w:hint="eastAsia" w:eastAsia="宋体"/>
                      <w:sz w:val="21"/>
                      <w:szCs w:val="21"/>
                      <w:highlight w:val="none"/>
                      <w:lang w:val="en-US" w:eastAsia="zh-CN"/>
                    </w:rPr>
                  </w:pPr>
                  <w:r>
                    <w:rPr>
                      <w:rFonts w:hint="eastAsia" w:ascii="Times New Roman" w:hAnsi="Times New Roman" w:eastAsia="宋体" w:cs="Times New Roman"/>
                      <w:spacing w:val="6"/>
                      <w:szCs w:val="21"/>
                      <w:lang w:val="en-US" w:eastAsia="zh-CN"/>
                    </w:rPr>
                    <w:t>2500</w:t>
                  </w:r>
                </w:p>
              </w:tc>
              <w:tc>
                <w:tcPr>
                  <w:tcW w:w="3241" w:type="dxa"/>
                  <w:noWrap w:val="0"/>
                  <w:vAlign w:val="center"/>
                </w:tcPr>
                <w:p>
                  <w:pPr>
                    <w:adjustRightInd w:val="0"/>
                    <w:snapToGrid w:val="0"/>
                    <w:spacing w:line="320" w:lineRule="exact"/>
                    <w:jc w:val="center"/>
                    <w:rPr>
                      <w:rFonts w:hint="eastAsia" w:eastAsia="宋体"/>
                      <w:szCs w:val="21"/>
                      <w:highlight w:val="none"/>
                      <w:lang w:eastAsia="zh-CN"/>
                    </w:rPr>
                  </w:pPr>
                  <w:r>
                    <w:rPr>
                      <w:rFonts w:hint="eastAsia" w:ascii="Times New Roman" w:hAnsi="Times New Roman" w:eastAsia="宋体" w:cs="Times New Roman"/>
                      <w:spacing w:val="6"/>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w:t>
                  </w:r>
                </w:p>
              </w:tc>
              <w:tc>
                <w:tcPr>
                  <w:tcW w:w="2529" w:type="dxa"/>
                  <w:noWrap w:val="0"/>
                  <w:vAlign w:val="center"/>
                </w:tcPr>
                <w:p>
                  <w:pPr>
                    <w:adjustRightInd w:val="0"/>
                    <w:snapToGrid w:val="0"/>
                    <w:spacing w:line="320" w:lineRule="exact"/>
                    <w:jc w:val="center"/>
                    <w:rPr>
                      <w:rFonts w:hint="eastAsia" w:ascii="Times New Roman" w:hAnsi="Times New Roman" w:eastAsia="宋体" w:cs="Times New Roman"/>
                      <w:spacing w:val="6"/>
                      <w:szCs w:val="21"/>
                      <w:lang w:val="en-US" w:eastAsia="zh-CN"/>
                    </w:rPr>
                  </w:pPr>
                  <w:r>
                    <w:rPr>
                      <w:rFonts w:hint="eastAsia" w:ascii="Times New Roman" w:hAnsi="Times New Roman" w:eastAsia="宋体" w:cs="Times New Roman"/>
                      <w:spacing w:val="6"/>
                      <w:szCs w:val="21"/>
                      <w:lang w:val="en-US" w:eastAsia="zh-CN"/>
                    </w:rPr>
                    <w:t>水泥</w:t>
                  </w:r>
                </w:p>
              </w:tc>
              <w:tc>
                <w:tcPr>
                  <w:tcW w:w="1483" w:type="dxa"/>
                  <w:noWrap w:val="0"/>
                  <w:vAlign w:val="center"/>
                </w:tcPr>
                <w:p>
                  <w:pPr>
                    <w:adjustRightInd w:val="0"/>
                    <w:snapToGrid w:val="0"/>
                    <w:spacing w:line="320" w:lineRule="exact"/>
                    <w:jc w:val="center"/>
                    <w:rPr>
                      <w:rFonts w:hint="eastAsia" w:ascii="Times New Roman" w:hAnsi="Times New Roman" w:eastAsia="宋体" w:cs="Times New Roman"/>
                      <w:spacing w:val="6"/>
                      <w:szCs w:val="21"/>
                      <w:lang w:val="en-US" w:eastAsia="zh-CN"/>
                    </w:rPr>
                  </w:pPr>
                  <w:r>
                    <w:rPr>
                      <w:rFonts w:hint="eastAsia" w:ascii="Times New Roman" w:hAnsi="Times New Roman" w:eastAsia="宋体" w:cs="Times New Roman"/>
                      <w:spacing w:val="6"/>
                      <w:szCs w:val="21"/>
                      <w:lang w:val="en-US" w:eastAsia="zh-CN"/>
                    </w:rPr>
                    <w:t>t/a</w:t>
                  </w:r>
                </w:p>
              </w:tc>
              <w:tc>
                <w:tcPr>
                  <w:tcW w:w="1076" w:type="dxa"/>
                  <w:noWrap w:val="0"/>
                  <w:vAlign w:val="center"/>
                </w:tcPr>
                <w:p>
                  <w:pPr>
                    <w:adjustRightInd w:val="0"/>
                    <w:snapToGrid w:val="0"/>
                    <w:spacing w:line="320" w:lineRule="exact"/>
                    <w:jc w:val="center"/>
                    <w:rPr>
                      <w:rFonts w:hint="eastAsia" w:ascii="Times New Roman" w:hAnsi="Times New Roman" w:eastAsia="宋体" w:cs="Times New Roman"/>
                      <w:spacing w:val="6"/>
                      <w:szCs w:val="21"/>
                      <w:lang w:val="en-US" w:eastAsia="zh-CN"/>
                    </w:rPr>
                  </w:pPr>
                  <w:r>
                    <w:rPr>
                      <w:rFonts w:hint="eastAsia" w:ascii="Times New Roman" w:hAnsi="Times New Roman" w:eastAsia="宋体" w:cs="Times New Roman"/>
                      <w:spacing w:val="6"/>
                      <w:szCs w:val="21"/>
                      <w:lang w:val="en-US" w:eastAsia="zh-CN"/>
                    </w:rPr>
                    <w:t>20</w:t>
                  </w:r>
                </w:p>
              </w:tc>
              <w:tc>
                <w:tcPr>
                  <w:tcW w:w="3241" w:type="dxa"/>
                  <w:noWrap w:val="0"/>
                  <w:vAlign w:val="center"/>
                </w:tcPr>
                <w:p>
                  <w:pPr>
                    <w:adjustRightInd w:val="0"/>
                    <w:snapToGrid w:val="0"/>
                    <w:spacing w:line="320" w:lineRule="exact"/>
                    <w:jc w:val="center"/>
                    <w:rPr>
                      <w:rFonts w:hint="eastAsia" w:ascii="Times New Roman" w:hAnsi="Times New Roman" w:eastAsia="宋体" w:cs="Times New Roman"/>
                      <w:spacing w:val="6"/>
                      <w:szCs w:val="21"/>
                      <w:lang w:val="en-US" w:eastAsia="zh-CN"/>
                    </w:rPr>
                  </w:pPr>
                  <w:r>
                    <w:rPr>
                      <w:rFonts w:hint="eastAsia" w:ascii="Times New Roman" w:hAnsi="Times New Roman" w:eastAsia="宋体" w:cs="Times New Roman"/>
                      <w:spacing w:val="6"/>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rFonts w:hint="eastAsia" w:eastAsia="宋体"/>
                      <w:szCs w:val="21"/>
                      <w:highlight w:val="none"/>
                      <w:lang w:val="en-US" w:eastAsia="zh-CN"/>
                    </w:rPr>
                  </w:pPr>
                  <w:r>
                    <w:rPr>
                      <w:rFonts w:hint="eastAsia" w:eastAsia="宋体"/>
                      <w:szCs w:val="21"/>
                      <w:highlight w:val="none"/>
                      <w:lang w:val="en-US" w:eastAsia="zh-CN"/>
                    </w:rPr>
                    <w:t>3</w:t>
                  </w:r>
                </w:p>
              </w:tc>
              <w:tc>
                <w:tcPr>
                  <w:tcW w:w="2529" w:type="dxa"/>
                  <w:noWrap w:val="0"/>
                  <w:vAlign w:val="center"/>
                </w:tcPr>
                <w:p>
                  <w:pPr>
                    <w:pStyle w:val="7"/>
                    <w:spacing w:after="0"/>
                    <w:ind w:firstLine="0" w:firstLineChars="0"/>
                    <w:jc w:val="center"/>
                    <w:rPr>
                      <w:sz w:val="21"/>
                      <w:szCs w:val="21"/>
                      <w:highlight w:val="none"/>
                    </w:rPr>
                  </w:pPr>
                  <w:r>
                    <w:rPr>
                      <w:sz w:val="21"/>
                      <w:szCs w:val="21"/>
                      <w:highlight w:val="none"/>
                    </w:rPr>
                    <w:t>电</w:t>
                  </w:r>
                </w:p>
              </w:tc>
              <w:tc>
                <w:tcPr>
                  <w:tcW w:w="1483" w:type="dxa"/>
                  <w:noWrap w:val="0"/>
                  <w:vAlign w:val="center"/>
                </w:tcPr>
                <w:p>
                  <w:pPr>
                    <w:pStyle w:val="7"/>
                    <w:spacing w:after="0"/>
                    <w:ind w:firstLine="0" w:firstLineChars="0"/>
                    <w:jc w:val="center"/>
                    <w:rPr>
                      <w:sz w:val="21"/>
                      <w:szCs w:val="21"/>
                      <w:highlight w:val="none"/>
                    </w:rPr>
                  </w:pPr>
                  <w:r>
                    <w:rPr>
                      <w:sz w:val="21"/>
                      <w:szCs w:val="21"/>
                      <w:highlight w:val="none"/>
                    </w:rPr>
                    <w:t>kwh/a</w:t>
                  </w:r>
                </w:p>
              </w:tc>
              <w:tc>
                <w:tcPr>
                  <w:tcW w:w="1076" w:type="dxa"/>
                  <w:noWrap w:val="0"/>
                  <w:vAlign w:val="center"/>
                </w:tcPr>
                <w:p>
                  <w:pPr>
                    <w:pStyle w:val="7"/>
                    <w:spacing w:after="0"/>
                    <w:ind w:firstLine="0" w:firstLineChars="0"/>
                    <w:jc w:val="center"/>
                    <w:rPr>
                      <w:rFonts w:hint="eastAsia"/>
                      <w:sz w:val="21"/>
                      <w:szCs w:val="21"/>
                      <w:highlight w:val="none"/>
                    </w:rPr>
                  </w:pPr>
                  <w:r>
                    <w:rPr>
                      <w:rStyle w:val="36"/>
                      <w:rFonts w:hint="eastAsia"/>
                      <w:highlight w:val="none"/>
                      <w:lang w:val="en-US" w:eastAsia="zh-CN"/>
                    </w:rPr>
                    <w:t>0.8</w:t>
                  </w:r>
                  <w:r>
                    <w:rPr>
                      <w:rStyle w:val="36"/>
                      <w:rFonts w:hint="eastAsia"/>
                      <w:highlight w:val="none"/>
                    </w:rPr>
                    <w:t>万</w:t>
                  </w:r>
                </w:p>
              </w:tc>
              <w:tc>
                <w:tcPr>
                  <w:tcW w:w="3241" w:type="dxa"/>
                  <w:noWrap w:val="0"/>
                  <w:vAlign w:val="center"/>
                </w:tcPr>
                <w:p>
                  <w:pPr>
                    <w:pStyle w:val="59"/>
                    <w:spacing w:line="240" w:lineRule="auto"/>
                    <w:rPr>
                      <w:szCs w:val="21"/>
                      <w:highlight w:val="none"/>
                    </w:rPr>
                  </w:pPr>
                  <w:r>
                    <w:rPr>
                      <w:szCs w:val="21"/>
                      <w:highlight w:val="none"/>
                    </w:rPr>
                    <w:t>由</w:t>
                  </w:r>
                  <w:r>
                    <w:rPr>
                      <w:rFonts w:hint="eastAsia"/>
                      <w:szCs w:val="21"/>
                      <w:highlight w:val="none"/>
                      <w:lang w:eastAsia="zh-CN"/>
                    </w:rPr>
                    <w:t>里坦镇</w:t>
                  </w:r>
                  <w:r>
                    <w:rPr>
                      <w:highlight w:val="none"/>
                    </w:rPr>
                    <w:t>供电系统提供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rFonts w:hint="eastAsia" w:eastAsia="宋体"/>
                      <w:szCs w:val="21"/>
                      <w:highlight w:val="none"/>
                      <w:lang w:val="en-US" w:eastAsia="zh-CN"/>
                    </w:rPr>
                  </w:pPr>
                  <w:r>
                    <w:rPr>
                      <w:rFonts w:hint="eastAsia" w:eastAsia="宋体"/>
                      <w:szCs w:val="21"/>
                      <w:highlight w:val="none"/>
                      <w:lang w:val="en-US" w:eastAsia="zh-CN"/>
                    </w:rPr>
                    <w:t>4</w:t>
                  </w:r>
                </w:p>
              </w:tc>
              <w:tc>
                <w:tcPr>
                  <w:tcW w:w="2529" w:type="dxa"/>
                  <w:noWrap w:val="0"/>
                  <w:vAlign w:val="center"/>
                </w:tcPr>
                <w:p>
                  <w:pPr>
                    <w:pStyle w:val="7"/>
                    <w:spacing w:after="0"/>
                    <w:ind w:firstLine="0" w:firstLineChars="0"/>
                    <w:jc w:val="center"/>
                    <w:rPr>
                      <w:rFonts w:hint="eastAsia" w:eastAsia="宋体"/>
                      <w:sz w:val="21"/>
                      <w:szCs w:val="21"/>
                      <w:highlight w:val="none"/>
                      <w:lang w:eastAsia="zh-CN"/>
                    </w:rPr>
                  </w:pPr>
                  <w:r>
                    <w:rPr>
                      <w:rFonts w:hint="eastAsia"/>
                      <w:sz w:val="21"/>
                      <w:szCs w:val="21"/>
                      <w:highlight w:val="none"/>
                      <w:lang w:eastAsia="zh-CN"/>
                    </w:rPr>
                    <w:t>水</w:t>
                  </w:r>
                </w:p>
              </w:tc>
              <w:tc>
                <w:tcPr>
                  <w:tcW w:w="1483" w:type="dxa"/>
                  <w:noWrap w:val="0"/>
                  <w:vAlign w:val="center"/>
                </w:tcPr>
                <w:p>
                  <w:pPr>
                    <w:pStyle w:val="7"/>
                    <w:spacing w:after="0"/>
                    <w:ind w:firstLine="0" w:firstLineChars="0"/>
                    <w:jc w:val="center"/>
                    <w:rPr>
                      <w:sz w:val="21"/>
                      <w:szCs w:val="21"/>
                      <w:highlight w:val="none"/>
                    </w:rPr>
                  </w:pPr>
                  <w:r>
                    <w:rPr>
                      <w:rFonts w:hint="eastAsia"/>
                      <w:sz w:val="21"/>
                      <w:szCs w:val="21"/>
                      <w:highlight w:val="none"/>
                      <w:lang w:val="en-US" w:eastAsia="zh-CN"/>
                    </w:rPr>
                    <w:t>t/a</w:t>
                  </w:r>
                </w:p>
              </w:tc>
              <w:tc>
                <w:tcPr>
                  <w:tcW w:w="1076" w:type="dxa"/>
                  <w:noWrap w:val="0"/>
                  <w:vAlign w:val="center"/>
                </w:tcPr>
                <w:p>
                  <w:pPr>
                    <w:pStyle w:val="7"/>
                    <w:spacing w:after="0"/>
                    <w:ind w:firstLine="0" w:firstLineChars="0"/>
                    <w:jc w:val="center"/>
                    <w:rPr>
                      <w:rStyle w:val="36"/>
                      <w:rFonts w:hint="eastAsia"/>
                      <w:highlight w:val="none"/>
                      <w:lang w:val="en-US" w:eastAsia="zh-CN"/>
                    </w:rPr>
                  </w:pPr>
                  <w:r>
                    <w:rPr>
                      <w:rStyle w:val="36"/>
                      <w:rFonts w:hint="eastAsia"/>
                      <w:highlight w:val="none"/>
                      <w:lang w:val="en-US" w:eastAsia="zh-CN"/>
                    </w:rPr>
                    <w:t>615</w:t>
                  </w:r>
                </w:p>
              </w:tc>
              <w:tc>
                <w:tcPr>
                  <w:tcW w:w="3241" w:type="dxa"/>
                  <w:noWrap w:val="0"/>
                  <w:vAlign w:val="center"/>
                </w:tcPr>
                <w:p>
                  <w:pPr>
                    <w:pStyle w:val="59"/>
                    <w:spacing w:line="240" w:lineRule="auto"/>
                    <w:rPr>
                      <w:szCs w:val="21"/>
                      <w:highlight w:val="none"/>
                    </w:rPr>
                  </w:pPr>
                  <w:r>
                    <w:rPr>
                      <w:szCs w:val="21"/>
                      <w:highlight w:val="none"/>
                    </w:rPr>
                    <w:t>由</w:t>
                  </w:r>
                  <w:r>
                    <w:rPr>
                      <w:rFonts w:hint="eastAsia"/>
                      <w:szCs w:val="21"/>
                      <w:highlight w:val="none"/>
                      <w:lang w:eastAsia="zh-CN"/>
                    </w:rPr>
                    <w:t>里坦镇流源庄村供水管网</w:t>
                  </w:r>
                  <w:r>
                    <w:rPr>
                      <w:szCs w:val="21"/>
                      <w:highlight w:val="none"/>
                    </w:rPr>
                    <w:t>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noWrap w:val="0"/>
                  <w:vAlign w:val="center"/>
                </w:tcPr>
                <w:p>
                  <w:pPr>
                    <w:jc w:val="center"/>
                    <w:rPr>
                      <w:rFonts w:hint="eastAsia" w:eastAsia="宋体"/>
                      <w:szCs w:val="21"/>
                      <w:highlight w:val="none"/>
                      <w:lang w:val="en-US" w:eastAsia="zh-CN"/>
                    </w:rPr>
                  </w:pPr>
                  <w:r>
                    <w:rPr>
                      <w:rFonts w:hint="eastAsia" w:eastAsia="宋体"/>
                      <w:szCs w:val="21"/>
                      <w:highlight w:val="none"/>
                      <w:lang w:val="en-US" w:eastAsia="zh-CN"/>
                    </w:rPr>
                    <w:t>5</w:t>
                  </w:r>
                </w:p>
              </w:tc>
              <w:tc>
                <w:tcPr>
                  <w:tcW w:w="2529" w:type="dxa"/>
                  <w:noWrap w:val="0"/>
                  <w:vAlign w:val="center"/>
                </w:tcPr>
                <w:p>
                  <w:pPr>
                    <w:pStyle w:val="7"/>
                    <w:spacing w:after="0"/>
                    <w:ind w:firstLine="0" w:firstLineChars="0"/>
                    <w:jc w:val="center"/>
                    <w:rPr>
                      <w:rFonts w:hint="eastAsia"/>
                      <w:sz w:val="21"/>
                      <w:szCs w:val="21"/>
                      <w:highlight w:val="none"/>
                      <w:lang w:eastAsia="zh-CN"/>
                    </w:rPr>
                  </w:pPr>
                  <w:r>
                    <w:rPr>
                      <w:rFonts w:hint="eastAsia"/>
                      <w:sz w:val="21"/>
                      <w:szCs w:val="21"/>
                      <w:highlight w:val="none"/>
                      <w:lang w:eastAsia="zh-CN"/>
                    </w:rPr>
                    <w:t>天然气</w:t>
                  </w:r>
                </w:p>
              </w:tc>
              <w:tc>
                <w:tcPr>
                  <w:tcW w:w="1483" w:type="dxa"/>
                  <w:noWrap w:val="0"/>
                  <w:vAlign w:val="center"/>
                </w:tcPr>
                <w:p>
                  <w:pPr>
                    <w:pStyle w:val="7"/>
                    <w:spacing w:after="0"/>
                    <w:ind w:firstLine="0" w:firstLineChars="0"/>
                    <w:jc w:val="center"/>
                    <w:rPr>
                      <w:rFonts w:hint="eastAsia"/>
                      <w:sz w:val="21"/>
                      <w:szCs w:val="21"/>
                      <w:highlight w:val="none"/>
                      <w:lang w:val="en-US" w:eastAsia="zh-CN"/>
                    </w:rPr>
                  </w:pPr>
                  <w:r>
                    <w:rPr>
                      <w:rFonts w:hint="eastAsia"/>
                      <w:sz w:val="21"/>
                      <w:szCs w:val="21"/>
                      <w:highlight w:val="none"/>
                      <w:lang w:val="en-US" w:eastAsia="zh-CN"/>
                    </w:rPr>
                    <w:t>万m</w:t>
                  </w:r>
                  <w:r>
                    <w:rPr>
                      <w:rFonts w:hint="eastAsia"/>
                      <w:sz w:val="21"/>
                      <w:szCs w:val="21"/>
                      <w:highlight w:val="none"/>
                      <w:vertAlign w:val="superscript"/>
                      <w:lang w:val="en-US" w:eastAsia="zh-CN"/>
                    </w:rPr>
                    <w:t>3</w:t>
                  </w:r>
                  <w:r>
                    <w:rPr>
                      <w:rFonts w:hint="eastAsia"/>
                      <w:sz w:val="21"/>
                      <w:szCs w:val="21"/>
                      <w:highlight w:val="none"/>
                      <w:lang w:val="en-US" w:eastAsia="zh-CN"/>
                    </w:rPr>
                    <w:t>/a</w:t>
                  </w:r>
                </w:p>
              </w:tc>
              <w:tc>
                <w:tcPr>
                  <w:tcW w:w="1076" w:type="dxa"/>
                  <w:noWrap w:val="0"/>
                  <w:vAlign w:val="center"/>
                </w:tcPr>
                <w:p>
                  <w:pPr>
                    <w:pStyle w:val="7"/>
                    <w:spacing w:after="0"/>
                    <w:ind w:firstLine="0" w:firstLineChars="0"/>
                    <w:jc w:val="center"/>
                    <w:rPr>
                      <w:rStyle w:val="36"/>
                      <w:rFonts w:hint="eastAsia"/>
                      <w:highlight w:val="none"/>
                      <w:lang w:val="en-US" w:eastAsia="zh-CN"/>
                    </w:rPr>
                  </w:pPr>
                  <w:r>
                    <w:rPr>
                      <w:rStyle w:val="36"/>
                      <w:rFonts w:hint="eastAsia"/>
                      <w:highlight w:val="none"/>
                      <w:lang w:val="en-US" w:eastAsia="zh-CN"/>
                    </w:rPr>
                    <w:t>4.5</w:t>
                  </w:r>
                </w:p>
              </w:tc>
              <w:tc>
                <w:tcPr>
                  <w:tcW w:w="3241" w:type="dxa"/>
                  <w:noWrap w:val="0"/>
                  <w:vAlign w:val="center"/>
                </w:tcPr>
                <w:p>
                  <w:pPr>
                    <w:pStyle w:val="59"/>
                    <w:spacing w:line="240" w:lineRule="auto"/>
                    <w:rPr>
                      <w:rFonts w:hint="eastAsia" w:eastAsia="宋体"/>
                      <w:szCs w:val="21"/>
                      <w:highlight w:val="none"/>
                      <w:lang w:val="en-US" w:eastAsia="zh-CN"/>
                    </w:rPr>
                  </w:pPr>
                  <w:r>
                    <w:rPr>
                      <w:rFonts w:hint="eastAsia"/>
                      <w:szCs w:val="21"/>
                      <w:highlight w:val="none"/>
                      <w:lang w:val="en-US" w:eastAsia="zh-CN"/>
                    </w:rPr>
                    <w:t>/</w:t>
                  </w:r>
                </w:p>
              </w:tc>
            </w:tr>
          </w:tbl>
          <w:p>
            <w:pPr>
              <w:spacing w:line="420" w:lineRule="exact"/>
              <w:ind w:firstLine="482" w:firstLineChars="200"/>
              <w:rPr>
                <w:b/>
                <w:bCs/>
                <w:sz w:val="24"/>
                <w:highlight w:val="none"/>
              </w:rPr>
            </w:pPr>
            <w:r>
              <w:rPr>
                <w:rFonts w:hint="eastAsia"/>
                <w:b/>
                <w:bCs/>
                <w:sz w:val="24"/>
                <w:highlight w:val="none"/>
                <w:lang w:val="en-US" w:eastAsia="zh-CN"/>
              </w:rPr>
              <w:t>7</w:t>
            </w:r>
            <w:r>
              <w:rPr>
                <w:b/>
                <w:bCs/>
                <w:sz w:val="24"/>
                <w:highlight w:val="none"/>
              </w:rPr>
              <w:t>、产品方案</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sz w:val="24"/>
                <w:highlight w:val="none"/>
              </w:rPr>
              <w:t>本</w:t>
            </w:r>
            <w:r>
              <w:rPr>
                <w:rFonts w:hint="eastAsia"/>
                <w:sz w:val="24"/>
                <w:szCs w:val="24"/>
                <w:lang w:val="en-US" w:eastAsia="zh-CN"/>
              </w:rPr>
              <w:t>项目产品方案如下表：</w:t>
            </w:r>
          </w:p>
          <w:p>
            <w:pPr>
              <w:pStyle w:val="9"/>
              <w:ind w:left="0" w:leftChars="0" w:firstLine="0" w:firstLineChars="0"/>
              <w:jc w:val="center"/>
              <w:rPr>
                <w:rFonts w:hint="eastAsia"/>
                <w:b/>
                <w:bCs/>
                <w:sz w:val="24"/>
                <w:szCs w:val="24"/>
                <w:lang w:val="en-US" w:eastAsia="zh-CN"/>
              </w:rPr>
            </w:pPr>
            <w:r>
              <w:rPr>
                <w:rFonts w:hint="eastAsia"/>
                <w:b/>
                <w:bCs/>
                <w:sz w:val="24"/>
                <w:szCs w:val="24"/>
                <w:lang w:val="en-US" w:eastAsia="zh-CN"/>
              </w:rPr>
              <w:t>表5  产品方案一览表</w:t>
            </w:r>
          </w:p>
          <w:tbl>
            <w:tblPr>
              <w:tblStyle w:val="38"/>
              <w:tblW w:w="900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676"/>
              <w:gridCol w:w="2565"/>
              <w:gridCol w:w="25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02"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序号</w:t>
                  </w:r>
                </w:p>
              </w:tc>
              <w:tc>
                <w:tcPr>
                  <w:tcW w:w="2676"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名称</w:t>
                  </w:r>
                </w:p>
              </w:tc>
              <w:tc>
                <w:tcPr>
                  <w:tcW w:w="2565"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单位</w:t>
                  </w:r>
                </w:p>
              </w:tc>
              <w:tc>
                <w:tcPr>
                  <w:tcW w:w="2565"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年产量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02"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1</w:t>
                  </w:r>
                </w:p>
              </w:tc>
              <w:tc>
                <w:tcPr>
                  <w:tcW w:w="2676"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热固复合聚苯乙烯泡沫保温板（聚合聚苯板）</w:t>
                  </w:r>
                </w:p>
              </w:tc>
              <w:tc>
                <w:tcPr>
                  <w:tcW w:w="2565" w:type="dxa"/>
                  <w:noWrap w:val="0"/>
                  <w:vAlign w:val="center"/>
                </w:tcPr>
                <w:p>
                  <w:pPr>
                    <w:pStyle w:val="59"/>
                    <w:spacing w:line="240" w:lineRule="auto"/>
                    <w:rPr>
                      <w:rFonts w:hint="eastAsia"/>
                      <w:color w:val="auto"/>
                      <w:szCs w:val="21"/>
                      <w:highlight w:val="none"/>
                      <w:lang w:eastAsia="zh-CN"/>
                    </w:rPr>
                  </w:pPr>
                  <w:r>
                    <w:rPr>
                      <w:rFonts w:hint="eastAsia"/>
                      <w:color w:val="auto"/>
                      <w:szCs w:val="21"/>
                      <w:highlight w:val="none"/>
                      <w:lang w:eastAsia="zh-CN"/>
                    </w:rPr>
                    <w:t>万</w:t>
                  </w:r>
                  <w:r>
                    <w:rPr>
                      <w:rFonts w:hint="eastAsia"/>
                      <w:sz w:val="21"/>
                      <w:szCs w:val="21"/>
                      <w:highlight w:val="none"/>
                      <w:lang w:val="en-US" w:eastAsia="zh-CN"/>
                    </w:rPr>
                    <w:t>m</w:t>
                  </w:r>
                  <w:r>
                    <w:rPr>
                      <w:rFonts w:hint="eastAsia"/>
                      <w:sz w:val="21"/>
                      <w:szCs w:val="21"/>
                      <w:highlight w:val="none"/>
                      <w:vertAlign w:val="superscript"/>
                      <w:lang w:val="en-US" w:eastAsia="zh-CN"/>
                    </w:rPr>
                    <w:t>3</w:t>
                  </w:r>
                  <w:r>
                    <w:rPr>
                      <w:rFonts w:hint="eastAsia"/>
                      <w:color w:val="auto"/>
                      <w:szCs w:val="21"/>
                      <w:highlight w:val="none"/>
                      <w:lang w:eastAsia="zh-CN"/>
                    </w:rPr>
                    <w:t>/a</w:t>
                  </w:r>
                </w:p>
              </w:tc>
              <w:tc>
                <w:tcPr>
                  <w:tcW w:w="2565" w:type="dxa"/>
                  <w:noWrap w:val="0"/>
                  <w:vAlign w:val="center"/>
                </w:tcPr>
                <w:p>
                  <w:pPr>
                    <w:pStyle w:val="59"/>
                    <w:spacing w:line="240" w:lineRule="auto"/>
                    <w:rPr>
                      <w:rFonts w:hint="eastAsia"/>
                      <w:color w:val="auto"/>
                      <w:szCs w:val="21"/>
                      <w:highlight w:val="none"/>
                      <w:lang w:val="en-US" w:eastAsia="zh-CN"/>
                    </w:rPr>
                  </w:pPr>
                  <w:r>
                    <w:rPr>
                      <w:rFonts w:hint="eastAsia"/>
                      <w:color w:val="auto"/>
                      <w:szCs w:val="21"/>
                      <w:highlight w:val="none"/>
                      <w:lang w:val="en-US" w:eastAsia="zh-CN"/>
                    </w:rPr>
                    <w:t>20</w:t>
                  </w:r>
                </w:p>
              </w:tc>
            </w:tr>
          </w:tbl>
          <w:p>
            <w:pPr>
              <w:spacing w:line="360" w:lineRule="auto"/>
              <w:ind w:firstLine="482" w:firstLineChars="200"/>
              <w:rPr>
                <w:b/>
                <w:bCs/>
                <w:sz w:val="24"/>
                <w:highlight w:val="none"/>
              </w:rPr>
            </w:pPr>
            <w:r>
              <w:rPr>
                <w:rFonts w:hint="eastAsia"/>
                <w:b/>
                <w:bCs/>
                <w:sz w:val="24"/>
                <w:highlight w:val="none"/>
                <w:lang w:val="en-US" w:eastAsia="zh-CN"/>
              </w:rPr>
              <w:t>8</w:t>
            </w:r>
            <w:r>
              <w:rPr>
                <w:b/>
                <w:bCs/>
                <w:sz w:val="24"/>
                <w:highlight w:val="none"/>
              </w:rPr>
              <w:t>、劳动定员和工作制度</w:t>
            </w:r>
            <w:r>
              <w:rPr>
                <w:rFonts w:hint="eastAsia"/>
                <w:b/>
                <w:bCs/>
                <w:sz w:val="24"/>
                <w:highlight w:val="none"/>
              </w:rPr>
              <w:t xml:space="preserve"> </w:t>
            </w:r>
          </w:p>
          <w:p>
            <w:pPr>
              <w:spacing w:line="360" w:lineRule="auto"/>
              <w:ind w:firstLine="480" w:firstLineChars="200"/>
              <w:rPr>
                <w:sz w:val="24"/>
                <w:highlight w:val="none"/>
              </w:rPr>
            </w:pPr>
            <w:r>
              <w:rPr>
                <w:sz w:val="24"/>
                <w:highlight w:val="none"/>
              </w:rPr>
              <w:t>本项目劳动定员</w:t>
            </w:r>
            <w:r>
              <w:rPr>
                <w:rFonts w:hint="eastAsia"/>
                <w:sz w:val="24"/>
                <w:highlight w:val="none"/>
                <w:lang w:val="en-US" w:eastAsia="zh-CN"/>
              </w:rPr>
              <w:t>12</w:t>
            </w:r>
            <w:r>
              <w:rPr>
                <w:sz w:val="24"/>
                <w:highlight w:val="none"/>
              </w:rPr>
              <w:t>人，</w:t>
            </w:r>
            <w:r>
              <w:rPr>
                <w:rFonts w:hint="eastAsia"/>
                <w:sz w:val="24"/>
                <w:highlight w:val="none"/>
                <w:lang w:eastAsia="zh-CN"/>
              </w:rPr>
              <w:t>均为附近村民，</w:t>
            </w:r>
            <w:r>
              <w:rPr>
                <w:sz w:val="24"/>
                <w:highlight w:val="none"/>
              </w:rPr>
              <w:t>年生产时间300天，一班制，每班8小时。</w:t>
            </w:r>
          </w:p>
          <w:p>
            <w:pPr>
              <w:spacing w:line="360" w:lineRule="auto"/>
              <w:ind w:firstLine="482" w:firstLineChars="200"/>
              <w:rPr>
                <w:rFonts w:hint="eastAsia"/>
                <w:sz w:val="24"/>
                <w:highlight w:val="none"/>
                <w:lang w:val="en-US" w:eastAsia="zh-CN"/>
              </w:rPr>
            </w:pPr>
            <w:r>
              <w:rPr>
                <w:rFonts w:hint="eastAsia"/>
                <w:b/>
                <w:bCs/>
                <w:sz w:val="24"/>
                <w:highlight w:val="none"/>
                <w:lang w:val="en-US" w:eastAsia="zh-CN"/>
              </w:rPr>
              <w:t>9</w:t>
            </w:r>
            <w:r>
              <w:rPr>
                <w:b/>
                <w:bCs/>
                <w:sz w:val="24"/>
                <w:highlight w:val="none"/>
              </w:rPr>
              <w:t>、公用工程</w:t>
            </w:r>
          </w:p>
          <w:p>
            <w:pPr>
              <w:spacing w:line="360" w:lineRule="auto"/>
              <w:ind w:firstLine="480" w:firstLineChars="200"/>
              <w:rPr>
                <w:rFonts w:hint="eastAsia"/>
                <w:sz w:val="24"/>
                <w:highlight w:val="none"/>
                <w:lang w:val="en-US" w:eastAsia="zh-CN"/>
              </w:rPr>
            </w:pPr>
            <w:r>
              <w:rPr>
                <w:rFonts w:hint="eastAsia"/>
                <w:sz w:val="24"/>
                <w:lang w:eastAsia="zh-CN"/>
              </w:rPr>
              <w:t>（</w:t>
            </w:r>
            <w:r>
              <w:rPr>
                <w:rFonts w:hint="eastAsia"/>
                <w:sz w:val="24"/>
                <w:highlight w:val="none"/>
                <w:lang w:val="en-US" w:eastAsia="zh-CN"/>
              </w:rPr>
              <w:t>1）给排水：</w:t>
            </w:r>
          </w:p>
          <w:p>
            <w:pPr>
              <w:spacing w:line="360" w:lineRule="auto"/>
              <w:ind w:firstLine="480" w:firstLineChars="200"/>
              <w:rPr>
                <w:kern w:val="0"/>
                <w:sz w:val="24"/>
              </w:rPr>
            </w:pPr>
            <w:r>
              <w:rPr>
                <w:rFonts w:hint="eastAsia" w:ascii="Times New Roman" w:hAnsi="Times New Roman" w:eastAsia="宋体"/>
                <w:sz w:val="24"/>
              </w:rPr>
              <w:t>项目用水主要为生产用水和生活用水</w:t>
            </w:r>
            <w:r>
              <w:rPr>
                <w:rFonts w:hint="eastAsia" w:ascii="Times New Roman" w:hAnsi="Times New Roman" w:eastAsia="宋体"/>
                <w:color w:val="auto"/>
                <w:sz w:val="24"/>
              </w:rPr>
              <w:t>，由</w:t>
            </w:r>
            <w:r>
              <w:rPr>
                <w:rFonts w:hint="eastAsia" w:ascii="Times New Roman" w:hAnsi="Times New Roman" w:eastAsia="宋体"/>
                <w:color w:val="auto"/>
                <w:sz w:val="24"/>
                <w:lang w:eastAsia="zh-CN"/>
              </w:rPr>
              <w:t>里坦镇流源庄村</w:t>
            </w:r>
            <w:r>
              <w:rPr>
                <w:rFonts w:hint="eastAsia" w:ascii="Times New Roman" w:hAnsi="Times New Roman" w:eastAsia="宋体"/>
                <w:color w:val="auto"/>
                <w:sz w:val="24"/>
              </w:rPr>
              <w:t>供水管网提供，</w:t>
            </w:r>
            <w:r>
              <w:rPr>
                <w:rFonts w:hint="eastAsia" w:ascii="Times New Roman" w:hAnsi="Times New Roman" w:eastAsia="宋体"/>
                <w:color w:val="auto"/>
                <w:sz w:val="24"/>
                <w:lang w:eastAsia="zh-CN"/>
              </w:rPr>
              <w:t>新水消耗</w:t>
            </w:r>
            <w:r>
              <w:rPr>
                <w:rFonts w:hint="eastAsia" w:ascii="Times New Roman" w:hAnsi="Times New Roman" w:eastAsia="宋体"/>
                <w:color w:val="auto"/>
                <w:sz w:val="24"/>
              </w:rPr>
              <w:t>量为</w:t>
            </w:r>
            <w:r>
              <w:rPr>
                <w:rFonts w:hint="eastAsia" w:eastAsia="宋体"/>
                <w:sz w:val="24"/>
                <w:lang w:val="en-US" w:eastAsia="zh-CN"/>
              </w:rPr>
              <w:t>2.05</w:t>
            </w:r>
            <w:r>
              <w:rPr>
                <w:sz w:val="24"/>
              </w:rPr>
              <w:t>m</w:t>
            </w:r>
            <w:r>
              <w:rPr>
                <w:sz w:val="24"/>
                <w:vertAlign w:val="superscript"/>
              </w:rPr>
              <w:t>3</w:t>
            </w:r>
            <w:r>
              <w:rPr>
                <w:sz w:val="24"/>
              </w:rPr>
              <w:t>/d（</w:t>
            </w:r>
            <w:r>
              <w:rPr>
                <w:rFonts w:hint="eastAsia"/>
                <w:sz w:val="24"/>
                <w:lang w:val="en-US" w:eastAsia="zh-CN"/>
              </w:rPr>
              <w:t>615</w:t>
            </w:r>
            <w:r>
              <w:rPr>
                <w:sz w:val="24"/>
              </w:rPr>
              <w:t>m</w:t>
            </w:r>
            <w:r>
              <w:rPr>
                <w:sz w:val="24"/>
                <w:vertAlign w:val="superscript"/>
              </w:rPr>
              <w:t>3</w:t>
            </w:r>
            <w:r>
              <w:rPr>
                <w:sz w:val="24"/>
              </w:rPr>
              <w:t>/a）</w:t>
            </w:r>
            <w:r>
              <w:rPr>
                <w:kern w:val="0"/>
                <w:sz w:val="24"/>
              </w:rPr>
              <w:t>。</w:t>
            </w:r>
          </w:p>
          <w:p>
            <w:pPr>
              <w:spacing w:line="480" w:lineRule="exact"/>
              <w:ind w:firstLine="477" w:firstLineChars="199"/>
              <w:rPr>
                <w:rFonts w:hint="eastAsia" w:ascii="Times New Roman" w:hAnsi="Times New Roman" w:eastAsia="宋体"/>
                <w:sz w:val="24"/>
              </w:rPr>
            </w:pPr>
            <w:r>
              <w:rPr>
                <w:rFonts w:hint="eastAsia" w:ascii="Times New Roman" w:hAnsi="Times New Roman" w:eastAsia="宋体"/>
                <w:sz w:val="24"/>
                <w:lang w:val="en-US" w:eastAsia="zh-CN"/>
              </w:rPr>
              <w:t>a：</w:t>
            </w:r>
            <w:r>
              <w:rPr>
                <w:rFonts w:hint="eastAsia" w:ascii="Times New Roman" w:hAnsi="Times New Roman" w:eastAsia="宋体"/>
                <w:sz w:val="24"/>
              </w:rPr>
              <w:t>生产：</w:t>
            </w:r>
          </w:p>
          <w:p>
            <w:pPr>
              <w:spacing w:line="480" w:lineRule="exact"/>
              <w:ind w:firstLine="477" w:firstLineChars="199"/>
              <w:rPr>
                <w:rFonts w:hint="eastAsia" w:ascii="Times New Roman" w:hAnsi="Times New Roman" w:eastAsia="宋体"/>
                <w:sz w:val="24"/>
                <w:lang w:val="en-US" w:eastAsia="zh-CN"/>
              </w:rPr>
            </w:pPr>
            <w:r>
              <w:rPr>
                <w:rFonts w:hint="eastAsia" w:ascii="Times New Roman" w:hAnsi="Times New Roman" w:eastAsia="宋体"/>
                <w:sz w:val="24"/>
                <w:lang w:val="en-US" w:eastAsia="zh-CN"/>
              </w:rPr>
              <w:t>蒸汽灌用水，用水量约1.88m</w:t>
            </w:r>
            <w:r>
              <w:rPr>
                <w:rFonts w:hint="eastAsia" w:ascii="Times New Roman" w:hAnsi="Times New Roman" w:eastAsia="宋体"/>
                <w:sz w:val="24"/>
                <w:vertAlign w:val="superscript"/>
                <w:lang w:val="en-US" w:eastAsia="zh-CN"/>
              </w:rPr>
              <w:t>3</w:t>
            </w:r>
            <w:r>
              <w:rPr>
                <w:rFonts w:hint="eastAsia" w:ascii="Times New Roman" w:hAnsi="Times New Roman" w:eastAsia="宋体"/>
                <w:sz w:val="24"/>
                <w:lang w:val="en-US" w:eastAsia="zh-CN"/>
              </w:rPr>
              <w:t>/d（564m</w:t>
            </w:r>
            <w:r>
              <w:rPr>
                <w:rFonts w:hint="eastAsia" w:ascii="Times New Roman" w:hAnsi="Times New Roman" w:eastAsia="宋体"/>
                <w:sz w:val="24"/>
                <w:vertAlign w:val="superscript"/>
                <w:lang w:val="en-US" w:eastAsia="zh-CN"/>
              </w:rPr>
              <w:t>3</w:t>
            </w:r>
            <w:r>
              <w:rPr>
                <w:rFonts w:hint="eastAsia" w:ascii="Times New Roman" w:hAnsi="Times New Roman" w:eastAsia="宋体"/>
                <w:sz w:val="24"/>
                <w:lang w:val="en-US" w:eastAsia="zh-CN"/>
              </w:rPr>
              <w:t>/a），全部随物料带走，最终蒸发。</w:t>
            </w:r>
          </w:p>
          <w:p>
            <w:pPr>
              <w:spacing w:line="480" w:lineRule="exact"/>
              <w:ind w:firstLine="477" w:firstLineChars="199"/>
              <w:rPr>
                <w:rFonts w:hint="eastAsia" w:ascii="Times New Roman" w:hAnsi="Times New Roman" w:eastAsia="宋体"/>
                <w:sz w:val="24"/>
                <w:lang w:val="en-US" w:eastAsia="zh-CN"/>
              </w:rPr>
            </w:pPr>
            <w:r>
              <w:rPr>
                <w:rFonts w:hint="eastAsia" w:ascii="Times New Roman" w:hAnsi="Times New Roman" w:eastAsia="宋体"/>
                <w:sz w:val="24"/>
                <w:lang w:val="en-US" w:eastAsia="zh-CN"/>
              </w:rPr>
              <w:t>打浆用水，用水量约0.05m</w:t>
            </w:r>
            <w:r>
              <w:rPr>
                <w:rFonts w:hint="eastAsia" w:ascii="Times New Roman" w:hAnsi="Times New Roman" w:eastAsia="宋体"/>
                <w:sz w:val="24"/>
                <w:vertAlign w:val="superscript"/>
                <w:lang w:val="en-US" w:eastAsia="zh-CN"/>
              </w:rPr>
              <w:t>3</w:t>
            </w:r>
            <w:r>
              <w:rPr>
                <w:rFonts w:hint="eastAsia" w:ascii="Times New Roman" w:hAnsi="Times New Roman" w:eastAsia="宋体"/>
                <w:sz w:val="24"/>
                <w:lang w:val="en-US" w:eastAsia="zh-CN"/>
              </w:rPr>
              <w:t>/d（15m</w:t>
            </w:r>
            <w:r>
              <w:rPr>
                <w:rFonts w:hint="eastAsia" w:ascii="Times New Roman" w:hAnsi="Times New Roman" w:eastAsia="宋体"/>
                <w:sz w:val="24"/>
                <w:vertAlign w:val="superscript"/>
                <w:lang w:val="en-US" w:eastAsia="zh-CN"/>
              </w:rPr>
              <w:t>3</w:t>
            </w:r>
            <w:r>
              <w:rPr>
                <w:rFonts w:hint="eastAsia" w:ascii="Times New Roman" w:hAnsi="Times New Roman" w:eastAsia="宋体"/>
                <w:sz w:val="24"/>
                <w:lang w:val="en-US" w:eastAsia="zh-CN"/>
              </w:rPr>
              <w:t>/a），全部随物料带走。</w:t>
            </w:r>
          </w:p>
          <w:p>
            <w:pPr>
              <w:spacing w:line="480" w:lineRule="exact"/>
              <w:ind w:firstLine="477" w:firstLineChars="199"/>
              <w:rPr>
                <w:rFonts w:hint="eastAsia" w:ascii="Times New Roman" w:hAnsi="Times New Roman" w:eastAsia="宋体"/>
                <w:sz w:val="24"/>
              </w:rPr>
            </w:pPr>
            <w:r>
              <w:rPr>
                <w:rFonts w:hint="eastAsia" w:ascii="Times New Roman" w:hAnsi="Times New Roman" w:eastAsia="宋体"/>
                <w:sz w:val="24"/>
                <w:lang w:val="en-US" w:eastAsia="zh-CN"/>
              </w:rPr>
              <w:t>b：</w:t>
            </w:r>
            <w:r>
              <w:rPr>
                <w:rFonts w:hint="eastAsia" w:ascii="Times New Roman" w:hAnsi="Times New Roman" w:eastAsia="宋体"/>
                <w:sz w:val="24"/>
              </w:rPr>
              <w:t>生</w:t>
            </w:r>
            <w:r>
              <w:rPr>
                <w:rFonts w:hint="eastAsia" w:ascii="Times New Roman" w:hAnsi="Times New Roman" w:eastAsia="宋体"/>
                <w:sz w:val="24"/>
                <w:lang w:eastAsia="zh-CN"/>
              </w:rPr>
              <w:t>活</w:t>
            </w:r>
            <w:r>
              <w:rPr>
                <w:rFonts w:hint="eastAsia" w:ascii="Times New Roman" w:hAnsi="Times New Roman" w:eastAsia="宋体"/>
                <w:sz w:val="24"/>
              </w:rPr>
              <w:t>：</w:t>
            </w:r>
          </w:p>
          <w:p>
            <w:pPr>
              <w:spacing w:line="480" w:lineRule="exact"/>
              <w:ind w:firstLine="477" w:firstLineChars="199"/>
              <w:rPr>
                <w:rFonts w:hint="eastAsia"/>
                <w:sz w:val="24"/>
              </w:rPr>
            </w:pPr>
            <w:r>
              <w:rPr>
                <w:rFonts w:hint="eastAsia"/>
                <w:sz w:val="24"/>
                <w:highlight w:val="none"/>
                <w:lang w:val="en-US" w:eastAsia="zh-CN"/>
              </w:rPr>
              <w:t>生活用水主要为职工日常饮用、盥洗用水，项目职工均为附近人员，不设宿舍、食堂、淋浴室等生活设施，生活用水量很少，生活废水主要是职工盥洗废水。</w:t>
            </w:r>
            <w:r>
              <w:rPr>
                <w:rFonts w:hint="eastAsia" w:ascii="Times New Roman" w:hAnsi="Times New Roman" w:eastAsia="宋体"/>
                <w:sz w:val="24"/>
              </w:rPr>
              <w:t>职工生活用水按每人每天用水10L计，则本项目职工生活用水量为0.12</w:t>
            </w:r>
            <w:r>
              <w:rPr>
                <w:sz w:val="24"/>
                <w:highlight w:val="none"/>
              </w:rPr>
              <w:t>m</w:t>
            </w:r>
            <w:r>
              <w:rPr>
                <w:sz w:val="24"/>
                <w:highlight w:val="none"/>
                <w:vertAlign w:val="superscript"/>
              </w:rPr>
              <w:t>3</w:t>
            </w:r>
            <w:r>
              <w:rPr>
                <w:sz w:val="24"/>
                <w:highlight w:val="none"/>
              </w:rPr>
              <w:t>/d</w:t>
            </w:r>
            <w:r>
              <w:rPr>
                <w:rFonts w:hint="eastAsia" w:ascii="Times New Roman" w:hAnsi="Times New Roman" w:eastAsia="宋体"/>
                <w:sz w:val="24"/>
              </w:rPr>
              <w:t>（36</w:t>
            </w:r>
            <w:r>
              <w:rPr>
                <w:sz w:val="24"/>
                <w:highlight w:val="none"/>
              </w:rPr>
              <w:t>m</w:t>
            </w:r>
            <w:r>
              <w:rPr>
                <w:sz w:val="24"/>
                <w:highlight w:val="none"/>
                <w:vertAlign w:val="superscript"/>
              </w:rPr>
              <w:t>3</w:t>
            </w:r>
            <w:r>
              <w:rPr>
                <w:rFonts w:hint="eastAsia" w:ascii="Times New Roman" w:hAnsi="Times New Roman" w:eastAsia="宋体"/>
                <w:sz w:val="24"/>
              </w:rPr>
              <w:t>/a）</w:t>
            </w:r>
            <w:r>
              <w:rPr>
                <w:rFonts w:hint="eastAsia" w:ascii="Times New Roman" w:hAnsi="Times New Roman" w:eastAsia="宋体"/>
                <w:sz w:val="24"/>
                <w:lang w:eastAsia="zh-CN"/>
              </w:rPr>
              <w:t>，</w:t>
            </w:r>
            <w:r>
              <w:rPr>
                <w:sz w:val="24"/>
                <w:highlight w:val="none"/>
              </w:rPr>
              <w:t>按照生活污水产生系数0.8计算得出，污水产生量为0.</w:t>
            </w:r>
            <w:r>
              <w:rPr>
                <w:rFonts w:hint="eastAsia"/>
                <w:sz w:val="24"/>
                <w:highlight w:val="none"/>
                <w:lang w:val="en-US" w:eastAsia="zh-CN"/>
              </w:rPr>
              <w:t>096</w:t>
            </w:r>
            <w:r>
              <w:rPr>
                <w:sz w:val="24"/>
                <w:highlight w:val="none"/>
              </w:rPr>
              <w:t>m</w:t>
            </w:r>
            <w:r>
              <w:rPr>
                <w:sz w:val="24"/>
                <w:highlight w:val="none"/>
                <w:vertAlign w:val="superscript"/>
              </w:rPr>
              <w:t>3</w:t>
            </w:r>
            <w:r>
              <w:rPr>
                <w:sz w:val="24"/>
                <w:highlight w:val="none"/>
              </w:rPr>
              <w:t>/d</w:t>
            </w:r>
            <w:r>
              <w:rPr>
                <w:rFonts w:hint="eastAsia"/>
                <w:sz w:val="24"/>
                <w:highlight w:val="none"/>
                <w:lang w:eastAsia="zh-CN"/>
              </w:rPr>
              <w:t>（</w:t>
            </w:r>
            <w:r>
              <w:rPr>
                <w:rFonts w:hint="eastAsia"/>
                <w:sz w:val="24"/>
                <w:highlight w:val="none"/>
                <w:lang w:val="en-US" w:eastAsia="zh-CN"/>
              </w:rPr>
              <w:t>28.8</w:t>
            </w:r>
            <w:r>
              <w:rPr>
                <w:bCs/>
                <w:sz w:val="24"/>
                <w:highlight w:val="none"/>
              </w:rPr>
              <w:t>m</w:t>
            </w:r>
            <w:r>
              <w:rPr>
                <w:bCs/>
                <w:sz w:val="24"/>
                <w:highlight w:val="none"/>
                <w:vertAlign w:val="superscript"/>
              </w:rPr>
              <w:t>3</w:t>
            </w:r>
            <w:r>
              <w:rPr>
                <w:bCs/>
                <w:sz w:val="24"/>
                <w:highlight w:val="none"/>
              </w:rPr>
              <w:t>/a</w:t>
            </w:r>
            <w:r>
              <w:rPr>
                <w:rFonts w:hint="eastAsia"/>
                <w:bCs/>
                <w:sz w:val="24"/>
                <w:highlight w:val="none"/>
                <w:lang w:eastAsia="zh-CN"/>
              </w:rPr>
              <w:t>）</w:t>
            </w:r>
            <w:r>
              <w:rPr>
                <w:sz w:val="24"/>
                <w:highlight w:val="none"/>
              </w:rPr>
              <w:t>，水量少且水质简单，全部用于厂区泼洒抑尘</w:t>
            </w:r>
            <w:r>
              <w:rPr>
                <w:kern w:val="0"/>
                <w:sz w:val="24"/>
              </w:rPr>
              <w:t>。</w:t>
            </w:r>
          </w:p>
          <w:p>
            <w:pPr>
              <w:widowControl/>
              <w:snapToGrid w:val="0"/>
              <w:spacing w:line="480" w:lineRule="exact"/>
              <w:ind w:firstLine="480" w:firstLineChars="200"/>
              <w:rPr>
                <w:bCs/>
                <w:sz w:val="24"/>
              </w:rPr>
            </w:pPr>
            <w:r>
              <w:rPr>
                <w:bCs/>
                <w:sz w:val="24"/>
              </w:rPr>
              <w:t>本项目水平衡见图</w:t>
            </w:r>
            <w:r>
              <w:rPr>
                <w:rFonts w:hint="eastAsia"/>
                <w:bCs/>
                <w:sz w:val="24"/>
                <w:lang w:val="en-US" w:eastAsia="zh-CN"/>
              </w:rPr>
              <w:t>1</w:t>
            </w:r>
            <w:r>
              <w:rPr>
                <w:bCs/>
                <w:sz w:val="24"/>
              </w:rPr>
              <w:t>。</w:t>
            </w:r>
          </w:p>
          <w:p>
            <w:pPr>
              <w:pStyle w:val="9"/>
              <w:rPr>
                <w:bCs/>
                <w:sz w:val="24"/>
              </w:rPr>
            </w:pPr>
          </w:p>
          <w:p>
            <w:pPr>
              <w:pStyle w:val="9"/>
              <w:rPr>
                <w:bCs/>
                <w:sz w:val="24"/>
              </w:rPr>
            </w:pPr>
          </w:p>
          <w:p>
            <w:pPr>
              <w:pStyle w:val="9"/>
              <w:rPr>
                <w:bCs/>
                <w:sz w:val="24"/>
              </w:rPr>
            </w:pPr>
          </w:p>
          <w:p>
            <w:pPr>
              <w:pStyle w:val="9"/>
              <w:rPr>
                <w:bCs/>
                <w:sz w:val="24"/>
              </w:rPr>
            </w:pPr>
          </w:p>
          <w:p>
            <w:pPr>
              <w:pStyle w:val="9"/>
              <w:rPr>
                <w:bCs/>
                <w:sz w:val="24"/>
              </w:rPr>
            </w:pPr>
          </w:p>
          <w:p>
            <w:pPr>
              <w:pStyle w:val="9"/>
              <w:rPr>
                <w:bCs/>
                <w:sz w:val="24"/>
              </w:rPr>
            </w:pPr>
          </w:p>
          <w:p>
            <w:pPr>
              <w:pStyle w:val="9"/>
              <w:rPr>
                <w:bCs/>
                <w:sz w:val="24"/>
              </w:rPr>
            </w:pPr>
          </w:p>
          <w:p>
            <w:pPr>
              <w:pStyle w:val="9"/>
              <w:ind w:left="0" w:leftChars="0" w:firstLine="0" w:firstLineChars="0"/>
              <w:rPr>
                <w:b/>
                <w:spacing w:val="20"/>
                <w:sz w:val="24"/>
              </w:rPr>
            </w:pPr>
            <w:r>
              <w:rPr>
                <w:bCs/>
                <w:sz w:val="24"/>
              </w:rPr>
              <w:pict>
                <v:shape id="_x0000_s2219" o:spid="_x0000_s2219" o:spt="75" type="#_x0000_t75" style="position:absolute;left:0pt;margin-left:23.15pt;margin-top:7.3pt;height:121.45pt;width:378.75pt;z-index:251660288;mso-width-relative:page;mso-height-relative:page;" o:ole="t" filled="f" o:preferrelative="t" stroked="f" coordsize="21600,21600">
                  <v:path/>
                  <v:fill on="f" focussize="0,0"/>
                  <v:stroke on="f"/>
                  <v:imagedata r:id="rId8" o:title=""/>
                  <o:lock v:ext="edit" aspectratio="f"/>
                </v:shape>
                <o:OLEObject Type="Embed" ProgID="" ShapeID="_x0000_s2219" DrawAspect="Content" ObjectID="_1468075725" r:id="rId7">
                  <o:LockedField>false</o:LockedField>
                </o:OLEObject>
              </w:pict>
            </w: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pStyle w:val="9"/>
              <w:ind w:left="0" w:leftChars="0" w:firstLine="0" w:firstLineChars="0"/>
              <w:rPr>
                <w:b/>
                <w:spacing w:val="20"/>
                <w:sz w:val="24"/>
              </w:rPr>
            </w:pPr>
          </w:p>
          <w:p>
            <w:pPr>
              <w:spacing w:line="420" w:lineRule="exact"/>
              <w:ind w:firstLine="1936" w:firstLineChars="689"/>
              <w:rPr>
                <w:sz w:val="24"/>
              </w:rPr>
            </w:pPr>
            <w:r>
              <w:rPr>
                <w:b/>
                <w:spacing w:val="20"/>
                <w:sz w:val="24"/>
              </w:rPr>
              <w:t>图</w:t>
            </w:r>
            <w:r>
              <w:rPr>
                <w:rFonts w:hint="eastAsia"/>
                <w:b/>
                <w:spacing w:val="20"/>
                <w:sz w:val="24"/>
                <w:lang w:val="en-US" w:eastAsia="zh-CN"/>
              </w:rPr>
              <w:t>1</w:t>
            </w:r>
            <w:r>
              <w:rPr>
                <w:b/>
                <w:spacing w:val="20"/>
                <w:sz w:val="24"/>
              </w:rPr>
              <w:t xml:space="preserve">     项目水量平衡图   </w:t>
            </w:r>
            <w:r>
              <w:rPr>
                <w:rFonts w:hAnsi="宋体"/>
                <w:b/>
                <w:spacing w:val="20"/>
                <w:sz w:val="24"/>
              </w:rPr>
              <w:t>单位</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/d</w:t>
            </w:r>
          </w:p>
          <w:p>
            <w:pPr>
              <w:pStyle w:val="9"/>
              <w:ind w:left="0" w:leftChars="0" w:firstLine="0" w:firstLineChars="0"/>
              <w:rPr>
                <w:sz w:val="24"/>
              </w:rPr>
            </w:pPr>
          </w:p>
          <w:p>
            <w:pPr>
              <w:pStyle w:val="9"/>
              <w:spacing w:line="360" w:lineRule="auto"/>
              <w:ind w:firstLine="480"/>
              <w:rPr>
                <w:sz w:val="24"/>
                <w:highlight w:val="none"/>
              </w:rPr>
            </w:pPr>
            <w:r>
              <w:rPr>
                <w:rFonts w:hint="eastAsia"/>
                <w:sz w:val="24"/>
                <w:highlight w:val="none"/>
                <w:lang w:eastAsia="zh-CN"/>
              </w:rPr>
              <w:t>（</w:t>
            </w:r>
            <w:r>
              <w:rPr>
                <w:rFonts w:hint="eastAsia"/>
                <w:sz w:val="24"/>
                <w:highlight w:val="none"/>
                <w:lang w:val="en-US" w:eastAsia="zh-CN"/>
              </w:rPr>
              <w:t>2）</w:t>
            </w:r>
            <w:r>
              <w:rPr>
                <w:sz w:val="24"/>
                <w:highlight w:val="none"/>
              </w:rPr>
              <w:t>供电</w:t>
            </w:r>
          </w:p>
          <w:p>
            <w:pPr>
              <w:tabs>
                <w:tab w:val="left" w:pos="5250"/>
              </w:tabs>
              <w:spacing w:line="360" w:lineRule="auto"/>
              <w:ind w:firstLine="480" w:firstLineChars="200"/>
              <w:rPr>
                <w:sz w:val="24"/>
                <w:highlight w:val="none"/>
              </w:rPr>
            </w:pPr>
            <w:r>
              <w:rPr>
                <w:sz w:val="24"/>
                <w:highlight w:val="none"/>
              </w:rPr>
              <w:t>该项目供电</w:t>
            </w:r>
            <w:r>
              <w:rPr>
                <w:rFonts w:hint="eastAsia"/>
                <w:sz w:val="24"/>
                <w:highlight w:val="none"/>
              </w:rPr>
              <w:t>由</w:t>
            </w:r>
            <w:r>
              <w:rPr>
                <w:rFonts w:hint="eastAsia"/>
                <w:sz w:val="24"/>
                <w:highlight w:val="none"/>
                <w:lang w:eastAsia="zh-CN"/>
              </w:rPr>
              <w:t>里坦镇</w:t>
            </w:r>
            <w:r>
              <w:rPr>
                <w:rFonts w:hint="eastAsia"/>
                <w:sz w:val="24"/>
                <w:highlight w:val="none"/>
              </w:rPr>
              <w:t>供电系统提供</w:t>
            </w:r>
            <w:r>
              <w:rPr>
                <w:sz w:val="24"/>
                <w:highlight w:val="none"/>
              </w:rPr>
              <w:t>，全年耗电</w:t>
            </w:r>
            <w:r>
              <w:rPr>
                <w:rFonts w:hint="eastAsia"/>
                <w:sz w:val="24"/>
                <w:highlight w:val="none"/>
                <w:lang w:eastAsia="zh-CN"/>
              </w:rPr>
              <w:t>0.8万kwh</w:t>
            </w:r>
            <w:r>
              <w:rPr>
                <w:sz w:val="24"/>
                <w:highlight w:val="none"/>
              </w:rPr>
              <w:t>，能够满足用电需要。</w:t>
            </w:r>
          </w:p>
          <w:p>
            <w:pPr>
              <w:tabs>
                <w:tab w:val="left" w:pos="5250"/>
              </w:tabs>
              <w:spacing w:line="360" w:lineRule="auto"/>
              <w:ind w:firstLine="480" w:firstLineChars="200"/>
              <w:rPr>
                <w:sz w:val="24"/>
                <w:highlight w:val="none"/>
              </w:rPr>
            </w:pP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w:t>
            </w:r>
            <w:r>
              <w:rPr>
                <w:sz w:val="24"/>
                <w:highlight w:val="none"/>
              </w:rPr>
              <w:t>供热</w:t>
            </w:r>
          </w:p>
          <w:p>
            <w:pPr>
              <w:tabs>
                <w:tab w:val="left" w:pos="5250"/>
              </w:tabs>
              <w:spacing w:line="360" w:lineRule="auto"/>
              <w:ind w:firstLine="480" w:firstLineChars="200"/>
              <w:rPr>
                <w:sz w:val="24"/>
                <w:highlight w:val="none"/>
              </w:rPr>
            </w:pPr>
            <w:r>
              <w:rPr>
                <w:rFonts w:hint="eastAsia"/>
                <w:sz w:val="24"/>
                <w:highlight w:val="none"/>
              </w:rPr>
              <w:t>本项目</w:t>
            </w:r>
            <w:r>
              <w:rPr>
                <w:rFonts w:hint="eastAsia"/>
                <w:sz w:val="24"/>
                <w:highlight w:val="none"/>
                <w:lang w:eastAsia="zh-CN"/>
              </w:rPr>
              <w:t>生产用热由天然气锅炉</w:t>
            </w:r>
            <w:r>
              <w:rPr>
                <w:sz w:val="24"/>
                <w:highlight w:val="none"/>
              </w:rPr>
              <w:t>，冬季职工</w:t>
            </w:r>
            <w:r>
              <w:rPr>
                <w:rFonts w:hint="eastAsia"/>
                <w:sz w:val="24"/>
                <w:highlight w:val="none"/>
              </w:rPr>
              <w:t>采用</w:t>
            </w:r>
            <w:r>
              <w:rPr>
                <w:sz w:val="24"/>
                <w:highlight w:val="none"/>
              </w:rPr>
              <w:t>空调取暖。</w:t>
            </w:r>
          </w:p>
          <w:p>
            <w:pPr>
              <w:numPr>
                <w:ilvl w:val="0"/>
                <w:numId w:val="3"/>
              </w:numPr>
              <w:tabs>
                <w:tab w:val="left" w:pos="5250"/>
              </w:tabs>
              <w:spacing w:line="360" w:lineRule="auto"/>
              <w:ind w:firstLine="482" w:firstLineChars="200"/>
              <w:rPr>
                <w:rFonts w:hint="eastAsia"/>
                <w:b/>
                <w:bCs/>
                <w:color w:val="000000"/>
                <w:sz w:val="24"/>
                <w:highlight w:val="none"/>
                <w:lang w:val="en-US" w:eastAsia="zh-CN"/>
              </w:rPr>
            </w:pPr>
            <w:r>
              <w:rPr>
                <w:rFonts w:hint="eastAsia"/>
                <w:b/>
                <w:bCs/>
                <w:color w:val="000000"/>
                <w:sz w:val="24"/>
                <w:highlight w:val="none"/>
                <w:lang w:val="en-US" w:eastAsia="zh-CN"/>
              </w:rPr>
              <w:t>项目平面布置合理性分析</w:t>
            </w:r>
          </w:p>
          <w:p>
            <w:pPr>
              <w:tabs>
                <w:tab w:val="left" w:pos="5250"/>
              </w:tabs>
              <w:spacing w:line="360" w:lineRule="auto"/>
              <w:ind w:firstLine="480" w:firstLineChars="200"/>
              <w:rPr>
                <w:rFonts w:hint="eastAsia" w:eastAsia="宋体"/>
                <w:sz w:val="24"/>
                <w:highlight w:val="none"/>
                <w:lang w:val="en-US" w:eastAsia="zh-CN"/>
              </w:rPr>
            </w:pPr>
            <w:r>
              <w:rPr>
                <w:rFonts w:hint="eastAsia"/>
                <w:sz w:val="24"/>
                <w:highlight w:val="none"/>
                <w:lang w:val="en-US" w:eastAsia="zh-CN"/>
              </w:rPr>
              <w:t>本项目</w:t>
            </w:r>
            <w:r>
              <w:rPr>
                <w:color w:val="000000"/>
                <w:sz w:val="24"/>
                <w:highlight w:val="none"/>
              </w:rPr>
              <w:t>位于</w:t>
            </w:r>
            <w:r>
              <w:rPr>
                <w:rFonts w:hint="eastAsia"/>
                <w:color w:val="000000"/>
                <w:sz w:val="24"/>
                <w:highlight w:val="none"/>
                <w:lang w:eastAsia="zh-CN"/>
              </w:rPr>
              <w:t>河北省廊坊市大城县里坦镇流源庄村。公司租用河北省廊坊市大</w:t>
            </w:r>
            <w:r>
              <w:rPr>
                <w:rFonts w:hint="default" w:ascii="Times New Roman" w:hAnsi="Times New Roman" w:cs="Times New Roman"/>
                <w:color w:val="000000"/>
                <w:sz w:val="24"/>
                <w:highlight w:val="none"/>
                <w:lang w:eastAsia="zh-CN"/>
              </w:rPr>
              <w:t>城县里坦镇流源庄村</w:t>
            </w:r>
            <w:r>
              <w:rPr>
                <w:rFonts w:hint="eastAsia"/>
                <w:color w:val="000000"/>
                <w:sz w:val="24"/>
                <w:highlight w:val="none"/>
                <w:lang w:eastAsia="zh-CN"/>
              </w:rPr>
              <w:t>厂房一座，在满足消防、安全、卫生要求的前提下，总平面布置根据工艺流程顺畅、运输及物流合理、生产管理方便，同时最大限度节约空间，项目平面布置合理，项目平面布置图见附图</w:t>
            </w:r>
            <w:r>
              <w:rPr>
                <w:rFonts w:hint="eastAsia"/>
                <w:color w:val="000000"/>
                <w:sz w:val="24"/>
                <w:highlight w:val="none"/>
                <w:lang w:val="en-US" w:eastAsia="zh-CN"/>
              </w:rPr>
              <w:t>3。</w:t>
            </w:r>
          </w:p>
          <w:p>
            <w:pPr>
              <w:tabs>
                <w:tab w:val="left" w:pos="5250"/>
              </w:tabs>
              <w:spacing w:line="360" w:lineRule="auto"/>
              <w:ind w:firstLine="482" w:firstLineChars="200"/>
              <w:rPr>
                <w:b/>
                <w:bCs/>
                <w:color w:val="000000"/>
                <w:sz w:val="24"/>
                <w:highlight w:val="none"/>
              </w:rPr>
            </w:pPr>
            <w:r>
              <w:rPr>
                <w:rFonts w:hint="eastAsia"/>
                <w:b/>
                <w:bCs/>
                <w:color w:val="000000"/>
                <w:sz w:val="24"/>
                <w:highlight w:val="none"/>
                <w:lang w:val="en-US" w:eastAsia="zh-CN"/>
              </w:rPr>
              <w:t>11</w:t>
            </w:r>
            <w:r>
              <w:rPr>
                <w:b/>
                <w:bCs/>
                <w:color w:val="000000"/>
                <w:sz w:val="24"/>
                <w:highlight w:val="none"/>
              </w:rPr>
              <w:t>、</w:t>
            </w:r>
            <w:r>
              <w:rPr>
                <w:rFonts w:hint="eastAsia"/>
                <w:b/>
                <w:bCs/>
                <w:color w:val="000000"/>
                <w:sz w:val="24"/>
                <w:highlight w:val="none"/>
                <w:lang w:eastAsia="zh-CN"/>
              </w:rPr>
              <w:t>项目</w:t>
            </w:r>
            <w:r>
              <w:rPr>
                <w:b/>
                <w:bCs/>
                <w:color w:val="000000"/>
                <w:sz w:val="24"/>
                <w:highlight w:val="none"/>
              </w:rPr>
              <w:t>选址合理性分析</w:t>
            </w:r>
          </w:p>
          <w:p>
            <w:pPr>
              <w:tabs>
                <w:tab w:val="left" w:pos="5250"/>
              </w:tabs>
              <w:spacing w:line="360" w:lineRule="auto"/>
              <w:ind w:firstLine="480" w:firstLineChars="200"/>
              <w:rPr>
                <w:color w:val="000000"/>
                <w:sz w:val="24"/>
                <w:highlight w:val="none"/>
              </w:rPr>
            </w:pPr>
            <w:r>
              <w:rPr>
                <w:color w:val="000000"/>
                <w:sz w:val="24"/>
                <w:highlight w:val="none"/>
              </w:rPr>
              <w:t>本项目位于</w:t>
            </w:r>
            <w:r>
              <w:rPr>
                <w:rFonts w:hint="eastAsia"/>
                <w:color w:val="000000"/>
                <w:sz w:val="24"/>
                <w:highlight w:val="none"/>
                <w:lang w:eastAsia="zh-CN"/>
              </w:rPr>
              <w:t>河北省廊坊市大</w:t>
            </w:r>
            <w:r>
              <w:rPr>
                <w:rFonts w:hint="default" w:ascii="Times New Roman" w:hAnsi="Times New Roman" w:cs="Times New Roman"/>
                <w:color w:val="000000"/>
                <w:sz w:val="24"/>
                <w:highlight w:val="none"/>
                <w:lang w:eastAsia="zh-CN"/>
              </w:rPr>
              <w:t>城县里坦镇流源庄村</w:t>
            </w:r>
            <w:r>
              <w:rPr>
                <w:rFonts w:hint="default" w:ascii="Times New Roman" w:hAnsi="Times New Roman" w:cs="Times New Roman"/>
                <w:color w:val="000000"/>
                <w:sz w:val="24"/>
                <w:highlight w:val="none"/>
              </w:rPr>
              <w:t>，中心地理位置坐标为</w:t>
            </w:r>
            <w:r>
              <w:rPr>
                <w:rFonts w:hint="default" w:ascii="Times New Roman" w:hAnsi="Times New Roman" w:cs="Times New Roman"/>
                <w:color w:val="000000"/>
                <w:sz w:val="24"/>
                <w:highlight w:val="none"/>
                <w:lang w:eastAsia="zh-CN"/>
              </w:rPr>
              <w:t>东经116°35'28.65"，北纬38°33'06.44"</w:t>
            </w:r>
            <w:r>
              <w:rPr>
                <w:rFonts w:hint="default" w:ascii="Times New Roman" w:hAnsi="Times New Roman" w:cs="Times New Roman"/>
                <w:color w:val="000000"/>
                <w:sz w:val="24"/>
                <w:highlight w:val="none"/>
              </w:rPr>
              <w:t>，</w:t>
            </w:r>
            <w:r>
              <w:rPr>
                <w:color w:val="000000"/>
                <w:sz w:val="24"/>
                <w:highlight w:val="none"/>
              </w:rPr>
              <w:t>占地面积</w:t>
            </w:r>
            <w:r>
              <w:rPr>
                <w:rFonts w:hint="eastAsia"/>
                <w:sz w:val="24"/>
                <w:highlight w:val="none"/>
                <w:lang w:val="en-US" w:eastAsia="zh-CN"/>
              </w:rPr>
              <w:t>1700</w:t>
            </w:r>
            <w:r>
              <w:rPr>
                <w:color w:val="000000"/>
                <w:sz w:val="24"/>
                <w:highlight w:val="none"/>
              </w:rPr>
              <w:t>m</w:t>
            </w:r>
            <w:r>
              <w:rPr>
                <w:color w:val="000000"/>
                <w:sz w:val="24"/>
                <w:highlight w:val="none"/>
                <w:vertAlign w:val="superscript"/>
              </w:rPr>
              <w:t>2</w:t>
            </w:r>
            <w:r>
              <w:rPr>
                <w:rFonts w:hint="eastAsia"/>
                <w:bCs/>
                <w:sz w:val="24"/>
                <w:highlight w:val="none"/>
                <w:vertAlign w:val="baseline"/>
                <w:lang w:eastAsia="zh-CN"/>
              </w:rPr>
              <w:t>，</w:t>
            </w:r>
            <w:r>
              <w:rPr>
                <w:color w:val="000000"/>
                <w:sz w:val="24"/>
                <w:highlight w:val="none"/>
              </w:rPr>
              <w:t>建筑面积</w:t>
            </w:r>
            <w:r>
              <w:rPr>
                <w:rFonts w:hint="eastAsia"/>
                <w:color w:val="000000"/>
                <w:sz w:val="24"/>
                <w:highlight w:val="none"/>
                <w:lang w:val="en-US" w:eastAsia="zh-CN"/>
              </w:rPr>
              <w:t>1700</w:t>
            </w:r>
            <w:r>
              <w:rPr>
                <w:color w:val="000000"/>
                <w:sz w:val="24"/>
                <w:highlight w:val="none"/>
              </w:rPr>
              <w:t>m</w:t>
            </w:r>
            <w:r>
              <w:rPr>
                <w:color w:val="000000"/>
                <w:sz w:val="24"/>
                <w:highlight w:val="none"/>
                <w:vertAlign w:val="superscript"/>
              </w:rPr>
              <w:t>2</w:t>
            </w:r>
            <w:r>
              <w:rPr>
                <w:color w:val="000000"/>
                <w:sz w:val="24"/>
                <w:highlight w:val="none"/>
              </w:rPr>
              <w:t>。</w:t>
            </w:r>
            <w:r>
              <w:rPr>
                <w:rFonts w:hint="eastAsia"/>
                <w:color w:val="000000"/>
                <w:sz w:val="24"/>
                <w:highlight w:val="none"/>
                <w:lang w:eastAsia="zh-CN"/>
              </w:rPr>
              <w:t>公司租用河北省廊坊市大</w:t>
            </w:r>
            <w:r>
              <w:rPr>
                <w:rFonts w:hint="default" w:ascii="Times New Roman" w:hAnsi="Times New Roman" w:cs="Times New Roman"/>
                <w:color w:val="000000"/>
                <w:sz w:val="24"/>
                <w:highlight w:val="none"/>
                <w:lang w:eastAsia="zh-CN"/>
              </w:rPr>
              <w:t>城县里坦镇流源庄村</w:t>
            </w:r>
            <w:r>
              <w:rPr>
                <w:rFonts w:hint="eastAsia"/>
                <w:color w:val="000000"/>
                <w:sz w:val="24"/>
                <w:highlight w:val="none"/>
                <w:lang w:eastAsia="zh-CN"/>
              </w:rPr>
              <w:t>厂房一座，</w:t>
            </w:r>
            <w:r>
              <w:rPr>
                <w:rFonts w:hint="eastAsia"/>
                <w:sz w:val="24"/>
                <w:lang w:eastAsia="zh-CN"/>
              </w:rPr>
              <w:t>根据</w:t>
            </w:r>
            <w:r>
              <w:rPr>
                <w:rFonts w:hint="eastAsia"/>
                <w:color w:val="000000"/>
                <w:sz w:val="24"/>
                <w:highlight w:val="none"/>
                <w:lang w:eastAsia="zh-CN"/>
              </w:rPr>
              <w:t>大城县里坦镇人民政府规划管理办公室</w:t>
            </w:r>
            <w:r>
              <w:rPr>
                <w:rFonts w:hint="eastAsia"/>
                <w:sz w:val="24"/>
              </w:rPr>
              <w:t>出具的</w:t>
            </w:r>
            <w:r>
              <w:rPr>
                <w:rFonts w:hint="eastAsia"/>
                <w:sz w:val="24"/>
                <w:lang w:eastAsia="zh-CN"/>
              </w:rPr>
              <w:t>证明</w:t>
            </w:r>
            <w:r>
              <w:rPr>
                <w:rFonts w:hint="eastAsia"/>
                <w:sz w:val="24"/>
              </w:rPr>
              <w:t>，符合</w:t>
            </w:r>
            <w:r>
              <w:rPr>
                <w:rFonts w:hint="eastAsia"/>
                <w:color w:val="000000"/>
                <w:sz w:val="24"/>
                <w:highlight w:val="none"/>
                <w:lang w:eastAsia="zh-CN"/>
              </w:rPr>
              <w:t>里坦镇土地利用规划</w:t>
            </w:r>
            <w:r>
              <w:rPr>
                <w:rFonts w:hint="eastAsia"/>
                <w:sz w:val="24"/>
              </w:rPr>
              <w:t>。</w:t>
            </w:r>
            <w:r>
              <w:rPr>
                <w:sz w:val="24"/>
                <w:szCs w:val="28"/>
              </w:rPr>
              <w:t>本项目</w:t>
            </w:r>
            <w:r>
              <w:rPr>
                <w:rFonts w:hint="eastAsia"/>
                <w:sz w:val="24"/>
                <w:szCs w:val="28"/>
              </w:rPr>
              <w:t>评价</w:t>
            </w:r>
            <w:r>
              <w:rPr>
                <w:sz w:val="24"/>
                <w:szCs w:val="28"/>
              </w:rPr>
              <w:t>范围内无饮用水水源地保护区、自然保护区、风景名胜区、生态功能保护区、文物保护地等法律、法规规定的环境敏感区。</w:t>
            </w:r>
            <w:r>
              <w:rPr>
                <w:rFonts w:hint="eastAsia"/>
                <w:sz w:val="24"/>
              </w:rPr>
              <w:t>综上所述，本项目的选址合理</w:t>
            </w:r>
            <w:r>
              <w:rPr>
                <w:color w:val="000000"/>
                <w:sz w:val="24"/>
                <w:highlight w:val="none"/>
              </w:rPr>
              <w:t>。</w:t>
            </w:r>
          </w:p>
          <w:p>
            <w:pPr>
              <w:tabs>
                <w:tab w:val="left" w:pos="5250"/>
              </w:tabs>
              <w:spacing w:line="360" w:lineRule="auto"/>
              <w:ind w:firstLine="482" w:firstLineChars="200"/>
              <w:rPr>
                <w:rFonts w:hint="eastAsia" w:eastAsia="宋体"/>
                <w:b/>
                <w:bCs/>
                <w:sz w:val="24"/>
                <w:highlight w:val="none"/>
                <w:lang w:eastAsia="zh-CN"/>
              </w:rPr>
            </w:pPr>
            <w:r>
              <w:rPr>
                <w:rFonts w:hint="eastAsia"/>
                <w:b/>
                <w:bCs/>
                <w:sz w:val="24"/>
                <w:highlight w:val="none"/>
                <w:lang w:val="en-US" w:eastAsia="zh-CN"/>
              </w:rPr>
              <w:t>12</w:t>
            </w:r>
            <w:r>
              <w:rPr>
                <w:b/>
                <w:bCs/>
                <w:sz w:val="24"/>
                <w:highlight w:val="none"/>
              </w:rPr>
              <w:t>、产业政策</w:t>
            </w:r>
            <w:r>
              <w:rPr>
                <w:rFonts w:hint="eastAsia"/>
                <w:b/>
                <w:bCs/>
                <w:sz w:val="24"/>
                <w:highlight w:val="none"/>
                <w:lang w:eastAsia="zh-CN"/>
              </w:rPr>
              <w:t>符合性分析</w:t>
            </w:r>
          </w:p>
          <w:p>
            <w:pPr>
              <w:tabs>
                <w:tab w:val="left" w:pos="5250"/>
              </w:tabs>
              <w:spacing w:line="360" w:lineRule="auto"/>
              <w:ind w:firstLine="480" w:firstLineChars="200"/>
              <w:rPr>
                <w:sz w:val="24"/>
                <w:highlight w:val="none"/>
              </w:rPr>
            </w:pPr>
            <w:r>
              <w:rPr>
                <w:sz w:val="24"/>
                <w:highlight w:val="none"/>
              </w:rPr>
              <w:t>本项目</w:t>
            </w:r>
            <w:r>
              <w:rPr>
                <w:rFonts w:hint="default" w:ascii="Times New Roman" w:hAnsi="Times New Roman" w:cs="Times New Roman"/>
                <w:sz w:val="24"/>
                <w:highlight w:val="none"/>
              </w:rPr>
              <w:t>为</w:t>
            </w:r>
            <w:r>
              <w:rPr>
                <w:rFonts w:hint="default" w:ascii="Times New Roman" w:hAnsi="Times New Roman" w:cs="Times New Roman"/>
                <w:kern w:val="0"/>
                <w:sz w:val="24"/>
                <w:highlight w:val="none"/>
                <w:lang w:eastAsia="zh-CN"/>
              </w:rPr>
              <w:t>年产20万立方米热固复合聚苯乙烯泡沫保温板（聚合聚苯板）项目</w:t>
            </w:r>
            <w:r>
              <w:rPr>
                <w:rFonts w:hint="default" w:ascii="Times New Roman" w:hAnsi="Times New Roman" w:cs="Times New Roman"/>
                <w:color w:val="000000"/>
                <w:sz w:val="24"/>
                <w:highlight w:val="none"/>
                <w:lang w:val="en-US" w:eastAsia="zh-CN"/>
              </w:rPr>
              <w:t>。根据《产业结构调整指导目录（2011年本）》（国家发展和改革委员会令第9号，2011年3月27日）和《国家发展改革委关于修订&lt;产业结构调整指导目录（2011年本）&gt;有关条款的决定（国家发展改革委2013年第21号令）</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本项目不属于鼓励类、限制类和淘汰类建设项目，为允许类，符合相关产业政策。本项目</w:t>
            </w:r>
            <w:r>
              <w:rPr>
                <w:rFonts w:hint="default" w:ascii="Times New Roman" w:hAnsi="Times New Roman" w:cs="Times New Roman"/>
                <w:color w:val="000000"/>
                <w:sz w:val="24"/>
                <w:highlight w:val="none"/>
              </w:rPr>
              <w:t>不属于《河北省新增限制和淘汰类产业目录</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2015年版</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w:t>
            </w:r>
            <w:r>
              <w:rPr>
                <w:rFonts w:hint="default" w:ascii="Times New Roman" w:hAnsi="Times New Roman" w:cs="Times New Roman"/>
                <w:sz w:val="24"/>
                <w:highlight w:val="none"/>
              </w:rPr>
              <w:t>限制类与淘汰类，</w:t>
            </w:r>
            <w:r>
              <w:rPr>
                <w:rFonts w:hint="default" w:ascii="Times New Roman" w:hAnsi="Times New Roman" w:cs="Times New Roman"/>
                <w:sz w:val="24"/>
                <w:lang w:val="zh-CN"/>
              </w:rPr>
              <w:t>且已在大城县</w:t>
            </w:r>
            <w:r>
              <w:rPr>
                <w:rFonts w:hint="eastAsia" w:ascii="Times New Roman" w:hAnsi="Times New Roman" w:cs="Times New Roman"/>
                <w:sz w:val="24"/>
                <w:lang w:val="zh-CN"/>
              </w:rPr>
              <w:t>发展改革局</w:t>
            </w:r>
            <w:r>
              <w:rPr>
                <w:rFonts w:hint="default" w:ascii="Times New Roman" w:hAnsi="Times New Roman" w:cs="Times New Roman"/>
                <w:sz w:val="24"/>
                <w:lang w:val="zh-CN"/>
              </w:rPr>
              <w:t>备案，备案文号为</w:t>
            </w:r>
            <w:r>
              <w:rPr>
                <w:rFonts w:hint="default" w:ascii="Times New Roman" w:hAnsi="Times New Roman" w:cs="Times New Roman"/>
                <w:sz w:val="24"/>
                <w:highlight w:val="none"/>
                <w:lang w:eastAsia="zh-CN"/>
              </w:rPr>
              <w:t>大发改备字</w:t>
            </w:r>
            <w:r>
              <w:rPr>
                <w:rFonts w:hint="eastAsia" w:ascii="Times New Roman" w:hAnsi="Times New Roman" w:cs="Times New Roman"/>
                <w:sz w:val="24"/>
                <w:highlight w:val="none"/>
                <w:lang w:eastAsia="zh-CN"/>
              </w:rPr>
              <w:t>【2019】29号</w:t>
            </w:r>
            <w:r>
              <w:rPr>
                <w:rFonts w:hint="default" w:ascii="Times New Roman" w:hAnsi="Times New Roman" w:cs="Times New Roman"/>
                <w:sz w:val="24"/>
                <w:highlight w:val="none"/>
                <w:lang w:val="en-US" w:eastAsia="zh-CN"/>
              </w:rPr>
              <w:t>，</w:t>
            </w:r>
            <w:r>
              <w:rPr>
                <w:rFonts w:hint="default" w:ascii="Times New Roman" w:hAnsi="Times New Roman" w:cs="Times New Roman"/>
                <w:kern w:val="24"/>
                <w:sz w:val="24"/>
                <w:lang w:eastAsia="zh-CN"/>
              </w:rPr>
              <w:t>建设</w:t>
            </w:r>
            <w:r>
              <w:rPr>
                <w:rFonts w:hint="default" w:ascii="Times New Roman" w:hAnsi="Times New Roman" w:cs="Times New Roman"/>
                <w:sz w:val="24"/>
                <w:highlight w:val="none"/>
                <w:lang w:eastAsia="zh-CN"/>
              </w:rPr>
              <w:t>项</w:t>
            </w:r>
            <w:r>
              <w:rPr>
                <w:rFonts w:hint="eastAsia"/>
                <w:sz w:val="24"/>
                <w:highlight w:val="none"/>
                <w:lang w:eastAsia="zh-CN"/>
              </w:rPr>
              <w:t>目符合产业政策要求</w:t>
            </w:r>
            <w:r>
              <w:rPr>
                <w:sz w:val="24"/>
                <w:highlight w:val="none"/>
              </w:rPr>
              <w:t>。</w:t>
            </w: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tabs>
                <w:tab w:val="left" w:pos="5250"/>
              </w:tabs>
              <w:spacing w:line="360" w:lineRule="auto"/>
              <w:ind w:firstLine="480" w:firstLineChars="200"/>
              <w:rPr>
                <w:sz w:val="24"/>
                <w:highlight w:val="none"/>
              </w:rPr>
            </w:pPr>
          </w:p>
          <w:p>
            <w:pPr>
              <w:spacing w:line="420" w:lineRule="exact"/>
              <w:rPr>
                <w:rFonts w:hint="eastAsia"/>
                <w:sz w:val="24"/>
                <w:highlight w:val="none"/>
                <w:lang w:eastAsia="zh-CN"/>
              </w:rPr>
            </w:pPr>
          </w:p>
          <w:p>
            <w:pPr>
              <w:pStyle w:val="9"/>
              <w:ind w:left="0" w:leftChars="0" w:firstLine="0" w:firstLineChars="0"/>
              <w:rPr>
                <w:rFonts w:hint="eastAsia"/>
                <w:sz w:val="24"/>
                <w:highlight w:val="none"/>
                <w:lang w:eastAsia="zh-CN"/>
              </w:rPr>
            </w:pPr>
          </w:p>
          <w:p>
            <w:pPr>
              <w:spacing w:line="42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4" w:hRule="atLeast"/>
        </w:trPr>
        <w:tc>
          <w:tcPr>
            <w:tcW w:w="9224" w:type="dxa"/>
            <w:gridSpan w:val="12"/>
            <w:noWrap w:val="0"/>
            <w:vAlign w:val="top"/>
          </w:tcPr>
          <w:p>
            <w:pPr>
              <w:spacing w:line="420" w:lineRule="exact"/>
              <w:rPr>
                <w:rFonts w:hint="eastAsia"/>
                <w:sz w:val="24"/>
                <w:highlight w:val="none"/>
              </w:rPr>
            </w:pPr>
            <w:r>
              <w:rPr>
                <w:rFonts w:hint="eastAsia"/>
                <w:b/>
                <w:bCs/>
                <w:sz w:val="24"/>
                <w:highlight w:val="none"/>
              </w:rPr>
              <w:t>与本项目有关的原有污染情况及主要环境问题</w:t>
            </w:r>
            <w:r>
              <w:rPr>
                <w:rFonts w:hint="eastAsia"/>
                <w:sz w:val="24"/>
                <w:highlight w:val="none"/>
              </w:rPr>
              <w:t>：</w:t>
            </w:r>
          </w:p>
          <w:p>
            <w:pPr>
              <w:spacing w:line="420" w:lineRule="exact"/>
              <w:ind w:firstLine="480" w:firstLineChars="200"/>
              <w:rPr>
                <w:rFonts w:hint="eastAsia"/>
                <w:sz w:val="24"/>
                <w:highlight w:val="none"/>
              </w:rPr>
            </w:pPr>
            <w:r>
              <w:rPr>
                <w:rFonts w:hint="eastAsia"/>
                <w:sz w:val="24"/>
                <w:highlight w:val="none"/>
              </w:rPr>
              <w:t>本项目为新建项目，项目</w:t>
            </w:r>
            <w:r>
              <w:rPr>
                <w:rFonts w:hint="eastAsia"/>
                <w:sz w:val="24"/>
                <w:highlight w:val="none"/>
                <w:lang w:eastAsia="zh-CN"/>
              </w:rPr>
              <w:t>租用空厂房</w:t>
            </w:r>
            <w:r>
              <w:rPr>
                <w:rFonts w:hint="eastAsia"/>
                <w:sz w:val="24"/>
                <w:highlight w:val="none"/>
              </w:rPr>
              <w:t>，没有与本项目有关的原有污染。</w:t>
            </w: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ind w:firstLine="480" w:firstLineChars="200"/>
              <w:rPr>
                <w:rFonts w:hint="eastAsia"/>
                <w:sz w:val="24"/>
                <w:highlight w:val="none"/>
              </w:rPr>
            </w:pPr>
          </w:p>
          <w:p>
            <w:pPr>
              <w:spacing w:line="420" w:lineRule="exact"/>
              <w:rPr>
                <w:sz w:val="24"/>
                <w:highlight w:val="none"/>
              </w:rPr>
            </w:pPr>
          </w:p>
        </w:tc>
      </w:tr>
    </w:tbl>
    <w:p>
      <w:pPr>
        <w:outlineLvl w:val="0"/>
        <w:rPr>
          <w:b/>
          <w:color w:val="000000"/>
          <w:sz w:val="32"/>
          <w:highlight w:val="none"/>
        </w:rPr>
      </w:pPr>
      <w:r>
        <w:rPr>
          <w:b/>
          <w:color w:val="000000"/>
          <w:sz w:val="32"/>
          <w:highlight w:val="none"/>
        </w:rPr>
        <w:br w:type="page"/>
      </w:r>
      <w:r>
        <w:rPr>
          <w:b/>
          <w:color w:val="000000"/>
          <w:sz w:val="32"/>
          <w:highlight w:val="none"/>
        </w:rPr>
        <w:t>建设项目所在地自然环境社会环境简况</w:t>
      </w:r>
    </w:p>
    <w:tbl>
      <w:tblPr>
        <w:tblStyle w:val="37"/>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2" w:hRule="atLeast"/>
        </w:trPr>
        <w:tc>
          <w:tcPr>
            <w:tcW w:w="8971" w:type="dxa"/>
            <w:noWrap w:val="0"/>
            <w:vAlign w:val="top"/>
          </w:tcPr>
          <w:p>
            <w:pPr>
              <w:spacing w:line="360" w:lineRule="auto"/>
              <w:rPr>
                <w:rFonts w:hint="default" w:ascii="Times New Roman" w:hAnsi="Times New Roman" w:cs="Times New Roman"/>
                <w:b/>
                <w:bCs/>
                <w:kern w:val="0"/>
                <w:sz w:val="24"/>
              </w:rPr>
            </w:pPr>
            <w:r>
              <w:rPr>
                <w:rFonts w:hint="default" w:ascii="Times New Roman" w:hAnsi="Times New Roman" w:cs="Times New Roman"/>
                <w:b/>
                <w:bCs/>
                <w:kern w:val="0"/>
                <w:sz w:val="24"/>
              </w:rPr>
              <w:t>自然环境简况（地形、地貌、气候、气象、水文、植被、生物多样性等）：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textAlignment w:val="auto"/>
              <w:outlineLvl w:val="9"/>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1、地理位置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大城县地处华北平原中部，河北省东中部，廊坊市南端，子牙河下游</w:t>
            </w:r>
            <w:r>
              <w:rPr>
                <w:rFonts w:hint="default" w:ascii="Times New Roman" w:hAnsi="Times New Roman" w:eastAsia="宋体" w:cs="Times New Roman"/>
                <w:color w:val="auto"/>
                <w:sz w:val="24"/>
                <w:szCs w:val="24"/>
              </w:rPr>
              <w:t>。</w:t>
            </w:r>
            <w:r>
              <w:rPr>
                <w:rFonts w:hint="default" w:ascii="Times New Roman" w:hAnsi="Times New Roman" w:cs="Times New Roman"/>
                <w:color w:val="auto"/>
                <w:sz w:val="24"/>
                <w:szCs w:val="24"/>
                <w:lang w:eastAsia="zh-CN"/>
              </w:rPr>
              <w:t>扼守京津走廊，东北毗邻天津市，东南面西面与沧州市连接。距离天津</w:t>
            </w:r>
            <w:r>
              <w:rPr>
                <w:rFonts w:hint="default" w:ascii="Times New Roman" w:hAnsi="Times New Roman" w:cs="Times New Roman"/>
                <w:color w:val="auto"/>
                <w:sz w:val="24"/>
                <w:szCs w:val="24"/>
                <w:lang w:val="en-US" w:eastAsia="zh-CN"/>
              </w:rPr>
              <w:t>70公里，</w:t>
            </w:r>
            <w:r>
              <w:rPr>
                <w:rFonts w:hint="eastAsia" w:ascii="Times New Roman" w:hAnsi="Times New Roman" w:cs="Times New Roman"/>
                <w:color w:val="auto"/>
                <w:sz w:val="24"/>
                <w:szCs w:val="24"/>
                <w:lang w:val="en-US" w:eastAsia="zh-CN"/>
              </w:rPr>
              <w:t>距</w:t>
            </w:r>
            <w:r>
              <w:rPr>
                <w:rFonts w:hint="default" w:ascii="Times New Roman" w:hAnsi="Times New Roman" w:cs="Times New Roman"/>
                <w:color w:val="auto"/>
                <w:sz w:val="24"/>
                <w:szCs w:val="24"/>
                <w:lang w:val="en-US" w:eastAsia="zh-CN"/>
              </w:rPr>
              <w:t>廊坊90公里，距北京160公里。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大城县区位优势明显，交通便利。距京沪高速、京沪铁路均8km，距京九铁路15km。建成了津保公路、廊泊公路为主骨架，连通全县的公路网，并于2006年实现了“村村通油路”。大城县形成“五横五纵”交通大路网框架（五横：廊沧高速、廊泊线、津涞线、采留线、司于线），全面融入全国交通大动脉。津石高速已谋划启动，建成通车后，将使大城到天津市区的时间缩短到半个小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项目建设地点在</w:t>
            </w:r>
            <w:r>
              <w:rPr>
                <w:rFonts w:hint="eastAsia"/>
                <w:color w:val="000000"/>
                <w:sz w:val="24"/>
                <w:highlight w:val="none"/>
                <w:lang w:eastAsia="zh-CN"/>
              </w:rPr>
              <w:t>河北省廊坊市大城县里坦镇流源庄村东</w:t>
            </w:r>
            <w:r>
              <w:rPr>
                <w:rFonts w:hint="default" w:ascii="Times New Roman" w:hAnsi="Times New Roman" w:cs="Times New Roman"/>
                <w:color w:val="auto"/>
                <w:sz w:val="24"/>
                <w:szCs w:val="24"/>
              </w:rPr>
              <w:t>，厂址中心坐标</w:t>
            </w:r>
            <w:r>
              <w:rPr>
                <w:rFonts w:hint="default" w:ascii="Times New Roman" w:hAnsi="Times New Roman" w:cs="Times New Roman"/>
                <w:color w:val="auto"/>
                <w:sz w:val="24"/>
                <w:szCs w:val="24"/>
                <w:lang w:eastAsia="zh-CN"/>
              </w:rPr>
              <w:t>：</w:t>
            </w:r>
            <w:r>
              <w:rPr>
                <w:rFonts w:hint="default" w:ascii="Times New Roman" w:hAnsi="Times New Roman" w:cs="Times New Roman"/>
                <w:bCs/>
                <w:color w:val="000000"/>
                <w:sz w:val="24"/>
                <w:highlight w:val="none"/>
                <w:lang w:eastAsia="zh-CN"/>
              </w:rPr>
              <w:t>东经116°35'28.65"，北纬38°33'06.44"</w:t>
            </w:r>
            <w:r>
              <w:rPr>
                <w:rFonts w:hint="default" w:ascii="Times New Roman" w:hAnsi="Times New Roman" w:cs="Times New Roman"/>
                <w:color w:val="auto"/>
                <w:sz w:val="24"/>
                <w:szCs w:val="24"/>
                <w:lang w:eastAsia="zh-CN"/>
              </w:rPr>
              <w:t>，四至：</w:t>
            </w:r>
            <w:r>
              <w:rPr>
                <w:rFonts w:hint="eastAsia"/>
                <w:bCs/>
                <w:sz w:val="24"/>
                <w:highlight w:val="none"/>
                <w:lang w:eastAsia="zh-CN"/>
              </w:rPr>
              <w:t>项目</w:t>
            </w:r>
            <w:r>
              <w:rPr>
                <w:rFonts w:hint="eastAsia"/>
                <w:sz w:val="24"/>
                <w:szCs w:val="24"/>
                <w:lang w:eastAsia="zh-CN"/>
              </w:rPr>
              <w:t>东侧为空地，西侧为公路，南侧为流源庄村地，北侧为空地</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项目所在地地理位置优越，</w:t>
            </w:r>
            <w:r>
              <w:rPr>
                <w:rFonts w:hint="default" w:ascii="Times New Roman" w:hAnsi="Times New Roman" w:cs="Times New Roman"/>
                <w:color w:val="auto"/>
                <w:sz w:val="24"/>
                <w:szCs w:val="24"/>
                <w:lang w:eastAsia="zh-CN"/>
              </w:rPr>
              <w:t>交通便利，</w:t>
            </w:r>
            <w:r>
              <w:rPr>
                <w:rFonts w:hint="default" w:ascii="Times New Roman" w:hAnsi="Times New Roman" w:cs="Times New Roman"/>
                <w:color w:val="auto"/>
                <w:sz w:val="24"/>
                <w:szCs w:val="24"/>
              </w:rPr>
              <w:t>项目选址可行。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项目地理位置见附图1、项目周边关系见附图2。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color w:val="auto"/>
                <w:sz w:val="24"/>
                <w:szCs w:val="24"/>
                <w:lang w:eastAsia="zh-CN"/>
              </w:rPr>
            </w:pPr>
            <w:r>
              <w:rPr>
                <w:rFonts w:hint="default" w:ascii="Times New Roman" w:hAnsi="Times New Roman" w:eastAsia="宋体" w:cs="Times New Roman"/>
                <w:b/>
                <w:color w:val="auto"/>
                <w:sz w:val="24"/>
                <w:szCs w:val="24"/>
              </w:rPr>
              <w:t>2、地形地貌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auto"/>
                <w:sz w:val="24"/>
                <w:szCs w:val="24"/>
                <w:lang w:eastAsia="zh-CN"/>
              </w:rPr>
              <w:t>大城县地处黑龙</w:t>
            </w:r>
            <w:r>
              <w:rPr>
                <w:rFonts w:hint="default" w:ascii="Times New Roman" w:hAnsi="Times New Roman" w:cs="Times New Roman"/>
                <w:color w:val="000000"/>
                <w:sz w:val="24"/>
              </w:rPr>
              <w:t>港河、子牙河下游。其境内地形为洪水冲积平原，地面平坦，地貌为平地夹有河床、洼地，县境地势由西南向东北倾斜，坡降10000:1，海拔高度为3.6—10m。由县境东北端杨家口村向西经郝庄、大童子村，至大阜村为一条+3.1至10m，+5m的海拔等高线。等高线以北，地面高度均在海拔5m以下，最低仅有3m，属文安洼东南边沿。等高线以南，大部地域在5m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pPr>
              <w:snapToGrid w:val="0"/>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color w:val="000000"/>
                <w:sz w:val="24"/>
              </w:rPr>
              <w:t>由于地壳下沉运动和子牙河等河流历来多淤塞、泛滥，造成河流两岸地势偏高。境内从位敢村到邓家务村一带有3条长约25km的古河道，古河道两侧二坡地也比较发育。密集的新河、故道，使整体平坦的大城境内密布准缓岗小低平地，小浅平洼等地貌。</w:t>
            </w:r>
          </w:p>
          <w:p>
            <w:pPr>
              <w:snapToGrid w:val="0"/>
              <w:spacing w:line="480" w:lineRule="exact"/>
              <w:ind w:firstLine="482" w:firstLineChars="200"/>
              <w:rPr>
                <w:rFonts w:hint="default" w:ascii="Times New Roman" w:hAnsi="Times New Roman" w:cs="Times New Roman"/>
                <w:color w:val="000000"/>
                <w:sz w:val="24"/>
              </w:rPr>
            </w:pPr>
            <w:r>
              <w:rPr>
                <w:rFonts w:hint="default" w:ascii="Times New Roman" w:hAnsi="Times New Roman" w:eastAsia="宋体" w:cs="Times New Roman"/>
                <w:b/>
                <w:color w:val="auto"/>
                <w:sz w:val="24"/>
                <w:szCs w:val="24"/>
              </w:rPr>
              <w:t>3、水文地质</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地表水</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大城境内主要河流有子牙河、子牙新河、黑龙港河。</w:t>
            </w:r>
          </w:p>
          <w:p>
            <w:pPr>
              <w:snapToGrid w:val="0"/>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color w:val="000000"/>
                <w:sz w:val="24"/>
              </w:rPr>
              <w:t>子牙河：子牙河中国海河水系五大河之一。在河北省南部。长706公里。上游有滹沱、滏阳两支。滹沱河发源于</w:t>
            </w:r>
            <w:r>
              <w:rPr>
                <w:rFonts w:hint="default" w:ascii="Times New Roman" w:hAnsi="Times New Roman" w:eastAsia="宋体" w:cs="Times New Roman"/>
                <w:color w:val="auto"/>
                <w:sz w:val="24"/>
                <w:szCs w:val="24"/>
              </w:rPr>
              <w:t>山西省五台山北侧，沿途在山西、河北境内接纳清水河和冶河，东流在献县与滏阳河汇合，称子牙河。滏阳河源于邯郸市和村附近。滏阳河上游是古大陆泽</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湖泊</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和古宁晋泊</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湖泊</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故地，地势低洼，汇有众多溪流。下游经大城至第六堡与大清河相汇。由于降水集中，又多暴雨，上游流经黄土地区，水土流失严重。根治海河后子牙河上游修建岗南、黄壁庄、朱庄等水库和山区一些农田水土保持工程，下游开挖子牙新河，引洪水直接流入渤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子牙河是海河水系西南支，由发源于太行山东坡的滏阳河和源于五台山北坡的滹沱河汇成，两河于献县臧子牙河家桥汇合后，始名子牙河。流经省份山西，河北，天津全长730余公里，流域面积7.87万平方公里。子牙河经西河闸至天津市十一堡汇南运河，至第六堡与大清河相汇，后至金钢桥和北运河合流。另一路由独流减河泄洪入海。全长474千米（至海口），流域面积4.6万平方千米（至献县）。中华人民共和国建立后，在献县以下辟子牙新河，经天津市北大港入渤海，以减轻水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子牙新河：子牙新河为复式河槽，用开挖新河主槽及北排河的土</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填筑新河的左右两堤，各长144km。两堤间距平均为2500m</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河道比降1/11900～1/15400。在靠右岸附近，开北排河一道，全长144km</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并在新河主槽右侧修筑滩地埝，形成两河三堤的形式。两河平时排中小洪水、涝水和地下水；当遇大洪水时，由滩地行洪，可收洪、涝、碱综合治理的效果。在穿运河的布局上，采用平、立交相结合的办法。小洪水系用立交，上面是南运河渡槽，下面是新河涵洞，南运河仍可维持航运。大洪水则扒开南运河两堤，利用滩地行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子牙河新开的直接入海河道。子牙河是中国海河水系中的最大支流。它的两大支流滹沱河和滏阳河的流域是历史上多次出现罕见集中暴雨的地区。由于河道泄洪能力上大下小（子牙河原泄洪能力仅800m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/s）</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历史上经常决口为患。为提高河道泄洪能力，1965～1967年增辟一条新河，上起河北省献县城北滹沱与滏阳河汇合处，流经献县、河间、大城、青县、黄骅等县，于天津市大港区马棚口注入渤海，称为子牙新河，对减轻天津市的洪水威胁和保障津浦铁路的安全，具有重大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黑龙港河：海河流域子牙河支流。流经河北平原东部。上源老沙河源于河北省大名县北部，威县常庄以下名清凉江，于三岔河附近纳入江江河，文庙附近汇入老盐河后始称黑龙港河，至天津市静海县入贾口洼，经子牙河入海河。全长约370公里，流域面积约1.7万余平方公里，耕地约133万公顷，人口约700万。黑龙港河位于子牙河、滏阳河、卫运河、南运河之间，流域为封闭洼地。历史上受黄河、漳河泛滥影响，沙垄岗坡起伏，古河道碟形洼地交错分布。气候温和，蒸发强烈。年降水量约500毫米，集中于夏、秋季，春季干燥少雨。原有河道淤积严重，每遇洪水则泛滥，沥水又无出路，常滞蓄贾口洼；潜水位高，土壤碱化较重，曾是河北省旱涝灾害频繁、灾情最重地区，粮食产量低而不稳。黑龙港河是平原排水河道，自开挖了子牙新河、北排河、南大排水河后，将该河分成3段，沥水分别由上述3河入海。黑龙港流域自1965年开始治理，疏浚开挖了江江河、清凉江、索芦河、老盐河、南大排水河、滏东排河等9条骨干河道和多条 支流河道，总长近千公里，修桥建闸700余座，植树造林发展台条田，引水压碱进行综合治理，自然面貌和农业生产条件发生显著变化。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地下水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城县处于冀中凹陷与沧县凸起的过渡地带，境内地质由一凸、一斜、一凹三大部分构成。加之古地理、古气候与新旧构造的波动变迁，导致水文地质条件复杂。全县地下水分为浅层淡水区，浅、中层咸水区，深层淡水区，超深层淡水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下水的主要补给来源是大气降水入渗，其补给量随年内季节性变化，在多年气象周期内，随降水丰枯而异，年际变化较大，多年平均一般占地下水总补给量的56％左右，其次是河渠坑塘引蓄入渗补给，地下水流向的总趋势自西北向东南，其方向与地面自然坡降相近，平均水力坡度为0.205‰地下水动态属降水</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径流</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补给——开采蒸发消耗型。近年来，由于地下水的大量开采，地下水位降低，导致地表水、地下水有利转化。补给量的增加，潜水蒸发量减少，在一定范围内使地下水保持相对稳定。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4、气候特征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城县城为暖温带半湿润气候区，属大陆性季风气候，春季光照充足，升温较快，风转东南，干燥少雨；夏季日照量大，气温较高，多东南风，湿润多雨；秋季气温下降，天晴气朗，日差较大，时有早霜；冬季北风偏多，干燥寒冷，降水量小，间有雾霰。多年平均降水量597.9毫米，平均气温11.8℃，平均无霜期188天，全年日照时数2771.8小时，平均日照率62.5％。主导风向为东北一西南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cs="Times New Roman"/>
                <w:b/>
                <w:color w:val="auto"/>
                <w:sz w:val="24"/>
                <w:szCs w:val="24"/>
              </w:rPr>
              <w:t>5、自然资源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城县自然资源丰富，后发优势明显。大城县境内煤炭储量190.1亿吨，煤质优良，是目前全国奇缺的“气肥煤”矿藏之一，具有极高的工业利用价值；煤层气储量2051.9亿立方米，并列入河北省“十一五”发展规划。全县未利用土地9万多亩，拥有各类劳动力资源24.9万人，可随时满足各类项目建设用地和务工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6、土壤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城县土壤共有2个土类，4个亚类，6个土属，34个土种。土壤以潮土和褐土为主，成土母质为洪积冲积物，虽经长期耕作已成耕作土壤，但耕层较浅，普遍缺磷。东南部低洼地带有粘土、黑土、红胶土，西部高地上和沿河两则有壤土、河壤土、两合土，在城关及县东北部分布有盐碱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cs="Times New Roman"/>
                <w:b/>
                <w:color w:val="auto"/>
                <w:sz w:val="24"/>
                <w:szCs w:val="24"/>
              </w:rPr>
              <w:t>7、动植物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城县现有植被属次生和人工植被，野生植物以～年生和多年生草本植物为主；农作物主要有小麦、玉米、棉花、花生等，林木多为人工种植，主要树种有杨树、柳树等。大城县县域境内野生动物包括哺乳纲、鸟类、爬行纲、两栖纲、水产动物类、昆虫纲和节肢和环形类；家畜、家禽主要为牛、猪、羊、鸡、鸭、鹅等。</w:t>
            </w:r>
          </w:p>
          <w:p>
            <w:pPr>
              <w:adjustRightInd w:val="0"/>
              <w:snapToGrid w:val="0"/>
              <w:spacing w:line="360" w:lineRule="auto"/>
              <w:rPr>
                <w:rFonts w:hint="default" w:ascii="Times New Roman" w:hAnsi="Times New Roman" w:cs="Times New Roman"/>
                <w:color w:val="auto"/>
                <w:sz w:val="24"/>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p>
          <w:p>
            <w:pPr>
              <w:spacing w:line="360" w:lineRule="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社会环境简况（社会经济结构、教育、文化、文物保护等）：</w:t>
            </w:r>
          </w:p>
          <w:p>
            <w:pPr>
              <w:spacing w:line="480" w:lineRule="exact"/>
              <w:ind w:firstLine="482" w:firstLineChars="200"/>
              <w:rPr>
                <w:rFonts w:hint="default" w:ascii="Times New Roman" w:hAnsi="Times New Roman" w:cs="Times New Roman"/>
                <w:color w:val="000000"/>
                <w:sz w:val="24"/>
              </w:rPr>
            </w:pPr>
            <w:r>
              <w:rPr>
                <w:rFonts w:hint="default" w:ascii="Times New Roman" w:hAnsi="Times New Roman" w:cs="Times New Roman"/>
                <w:b/>
                <w:color w:val="auto"/>
                <w:sz w:val="24"/>
                <w:szCs w:val="24"/>
              </w:rPr>
              <w:t>1</w:t>
            </w:r>
            <w:r>
              <w:rPr>
                <w:rFonts w:hint="eastAsia" w:ascii="Times New Roman" w:hAnsi="Times New Roman" w:cs="Times New Roman"/>
                <w:b/>
                <w:color w:val="auto"/>
                <w:sz w:val="24"/>
                <w:szCs w:val="24"/>
                <w:lang w:eastAsia="zh-CN"/>
              </w:rPr>
              <w:t>、</w:t>
            </w:r>
            <w:r>
              <w:rPr>
                <w:rFonts w:hint="default" w:ascii="Times New Roman" w:hAnsi="Times New Roman" w:cs="Times New Roman"/>
                <w:b/>
                <w:color w:val="auto"/>
                <w:sz w:val="24"/>
                <w:szCs w:val="24"/>
              </w:rPr>
              <w:t>行政区划</w:t>
            </w:r>
            <w:r>
              <w:rPr>
                <w:rFonts w:hint="default" w:ascii="Times New Roman" w:hAnsi="Times New Roman" w:cs="Times New Roman"/>
                <w:b/>
                <w:bCs/>
                <w:color w:val="000000"/>
                <w:sz w:val="24"/>
              </w:rPr>
              <w:t>和人口构成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大城县现辖10个镇，394个行政村。总面积904km2，人口45万人。</w:t>
            </w:r>
          </w:p>
          <w:p>
            <w:pPr>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2</w:t>
            </w:r>
            <w:r>
              <w:rPr>
                <w:rFonts w:hint="eastAsia" w:ascii="Times New Roman" w:hAnsi="Times New Roman" w:cs="Times New Roman"/>
                <w:b/>
                <w:bCs/>
                <w:color w:val="000000"/>
                <w:sz w:val="24"/>
                <w:lang w:eastAsia="zh-CN"/>
              </w:rPr>
              <w:t>、</w:t>
            </w:r>
            <w:r>
              <w:rPr>
                <w:rFonts w:hint="default" w:ascii="Times New Roman" w:hAnsi="Times New Roman" w:cs="Times New Roman"/>
                <w:b/>
                <w:bCs/>
                <w:color w:val="000000"/>
                <w:sz w:val="24"/>
              </w:rPr>
              <w:t>工农业生产</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城物产资源丰富，全县耕地面积82万亩，盛产小麦、玉米、豆类等粮食作物，经济作物以棉花、花生、芝麻、向日葵为主，干鲜果品种类繁多，尤以天津鸭梨、金丝小枣最负盛名。煤炭、煤层气等自然资源十分丰富，初步探明，境内煤炭储量127亿吨以上，煤质优良，是理想的工来用煤，煤层气含量1405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，地热水可保证60℃以上，日出水量可达10t，开发前景十分广阔。</w:t>
            </w:r>
          </w:p>
          <w:p>
            <w:pPr>
              <w:spacing w:line="480" w:lineRule="exact"/>
              <w:ind w:firstLine="375"/>
              <w:rPr>
                <w:rFonts w:hint="default" w:ascii="Times New Roman" w:hAnsi="Times New Roman" w:cs="Times New Roman"/>
                <w:color w:val="000000"/>
                <w:sz w:val="24"/>
              </w:rPr>
            </w:pPr>
            <w:r>
              <w:rPr>
                <w:rFonts w:hint="default" w:ascii="Times New Roman" w:hAnsi="Times New Roman" w:cs="Times New Roman"/>
                <w:color w:val="000000"/>
                <w:sz w:val="24"/>
              </w:rPr>
              <w:t xml:space="preserve">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 </w:t>
            </w:r>
          </w:p>
          <w:p>
            <w:pPr>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3</w:t>
            </w:r>
            <w:r>
              <w:rPr>
                <w:rFonts w:hint="eastAsia" w:ascii="Times New Roman" w:hAnsi="Times New Roman" w:cs="Times New Roman"/>
                <w:b/>
                <w:bCs/>
                <w:color w:val="000000"/>
                <w:sz w:val="24"/>
                <w:lang w:eastAsia="zh-CN"/>
              </w:rPr>
              <w:t>、</w:t>
            </w:r>
            <w:r>
              <w:rPr>
                <w:rFonts w:hint="default" w:ascii="Times New Roman" w:hAnsi="Times New Roman" w:cs="Times New Roman"/>
                <w:b/>
                <w:bCs/>
                <w:color w:val="000000"/>
                <w:sz w:val="24"/>
              </w:rPr>
              <w:t>交通运输及通讯</w:t>
            </w:r>
          </w:p>
          <w:p>
            <w:pPr>
              <w:spacing w:line="480" w:lineRule="exact"/>
              <w:ind w:firstLine="480" w:firstLineChars="200"/>
              <w:rPr>
                <w:rFonts w:hint="default" w:ascii="Times New Roman" w:hAnsi="Times New Roman" w:cs="Times New Roman"/>
                <w:color w:val="000000"/>
                <w:sz w:val="27"/>
                <w:szCs w:val="27"/>
              </w:rPr>
            </w:pPr>
            <w:r>
              <w:rPr>
                <w:rFonts w:hint="default" w:ascii="Times New Roman" w:hAnsi="Times New Roman" w:cs="Times New Roman"/>
                <w:color w:val="000000"/>
                <w:sz w:val="24"/>
              </w:rPr>
              <w:t>交通基础设施建设进一步加强，运输能力稳步提升。邮电通信业迅速发展。</w:t>
            </w:r>
          </w:p>
          <w:p>
            <w:pPr>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4</w:t>
            </w:r>
            <w:r>
              <w:rPr>
                <w:rFonts w:hint="eastAsia" w:ascii="Times New Roman" w:hAnsi="Times New Roman" w:cs="Times New Roman"/>
                <w:b/>
                <w:bCs/>
                <w:color w:val="000000"/>
                <w:sz w:val="24"/>
                <w:lang w:eastAsia="zh-CN"/>
              </w:rPr>
              <w:t>、</w:t>
            </w:r>
            <w:r>
              <w:rPr>
                <w:rFonts w:hint="default" w:ascii="Times New Roman" w:hAnsi="Times New Roman" w:cs="Times New Roman"/>
                <w:b/>
                <w:bCs/>
                <w:color w:val="000000"/>
                <w:sz w:val="24"/>
              </w:rPr>
              <w:t>文教卫生</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sz w:val="24"/>
              </w:rPr>
              <w:t>文化事业日益繁荣。年末全县共有民间艺术团体200个，图书馆藏书4万册，电视覆盖率达100%。教育事业健康蓬勃发展。教学条件得到进一步提高。年末全县普通中学在校生数33827人，比上年减少12.9%，小学在校生数35258人，比上年增加3.5%，学龄儿童入学率达100%。卫生事业平稳发展，医疗条件进一步改善。年末全县拥有卫生医疗机构19个，床位1092张，卫生技术人员2108人，全县集体、个体行医机构640个（有执照），行医人员1244人，基本保证了人民群众就医的需要。</w:t>
            </w:r>
          </w:p>
          <w:p>
            <w:pPr>
              <w:pStyle w:val="15"/>
              <w:spacing w:line="480" w:lineRule="exact"/>
              <w:ind w:firstLine="482"/>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通过现场调查，在评价范围内无珍贵动植物及文物保护单位。</w:t>
            </w:r>
          </w:p>
          <w:p>
            <w:pPr>
              <w:autoSpaceDE w:val="0"/>
              <w:autoSpaceDN w:val="0"/>
              <w:adjustRightInd w:val="0"/>
              <w:spacing w:line="480" w:lineRule="exact"/>
              <w:ind w:firstLine="480" w:firstLineChars="200"/>
              <w:rPr>
                <w:rFonts w:hint="default" w:ascii="Times New Roman" w:hAnsi="Times New Roman" w:cs="Times New Roman"/>
                <w:sz w:val="24"/>
                <w:highlight w:val="none"/>
              </w:rPr>
            </w:pPr>
          </w:p>
        </w:tc>
      </w:tr>
    </w:tbl>
    <w:p>
      <w:pPr>
        <w:outlineLvl w:val="0"/>
        <w:rPr>
          <w:b/>
          <w:bCs/>
          <w:sz w:val="28"/>
          <w:szCs w:val="28"/>
          <w:highlight w:val="none"/>
        </w:rPr>
      </w:pPr>
      <w:r>
        <w:rPr>
          <w:b/>
          <w:bCs/>
          <w:sz w:val="28"/>
          <w:szCs w:val="28"/>
          <w:highlight w:val="none"/>
        </w:rPr>
        <w:br w:type="page"/>
      </w:r>
      <w:r>
        <w:rPr>
          <w:b/>
          <w:bCs/>
          <w:sz w:val="28"/>
          <w:szCs w:val="28"/>
          <w:highlight w:val="none"/>
        </w:rPr>
        <w:t>环境质量状况</w:t>
      </w:r>
    </w:p>
    <w:tbl>
      <w:tblPr>
        <w:tblStyle w:val="37"/>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8949" w:type="dxa"/>
            <w:noWrap w:val="0"/>
            <w:vAlign w:val="top"/>
          </w:tcPr>
          <w:p>
            <w:pPr>
              <w:spacing w:line="360" w:lineRule="auto"/>
              <w:rPr>
                <w:rFonts w:hint="default" w:ascii="Times New Roman" w:hAnsi="Times New Roman" w:cs="Times New Roman"/>
                <w:b/>
                <w:bCs/>
                <w:sz w:val="24"/>
                <w:highlight w:val="none"/>
              </w:rPr>
            </w:pPr>
            <w:r>
              <w:rPr>
                <w:rFonts w:hint="default" w:ascii="Times New Roman" w:hAnsi="Times New Roman" w:cs="Times New Roman"/>
                <w:b/>
                <w:bCs/>
                <w:sz w:val="24"/>
                <w:highlight w:val="none"/>
              </w:rPr>
              <w:t>建设项目所在地区域环境质量现状及主要环境问题（环境空气、地面水、地下水、声环境、生态环境等）：</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kern w:val="0"/>
                <w:sz w:val="24"/>
              </w:rPr>
              <w:t>根据2017年5月大</w:t>
            </w:r>
            <w:r>
              <w:rPr>
                <w:rFonts w:hint="default" w:ascii="Times New Roman" w:hAnsi="Times New Roman" w:cs="Times New Roman"/>
                <w:color w:val="000000"/>
                <w:sz w:val="24"/>
              </w:rPr>
              <w:t>城县《环境质量评价报告》，整理建设项目所在地环境质量现状及主要环境问题如下：</w:t>
            </w:r>
          </w:p>
          <w:p>
            <w:pPr>
              <w:spacing w:line="480" w:lineRule="exact"/>
              <w:ind w:firstLine="482" w:firstLineChars="200"/>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1、环境空气</w:t>
            </w:r>
          </w:p>
          <w:p>
            <w:pPr>
              <w:widowControl/>
              <w:spacing w:line="460" w:lineRule="exact"/>
              <w:ind w:firstLine="480" w:firstLineChars="200"/>
              <w:rPr>
                <w:rFonts w:hint="default" w:ascii="Times New Roman" w:hAnsi="Times New Roman" w:cs="Times New Roman"/>
                <w:spacing w:val="-10"/>
                <w:sz w:val="24"/>
              </w:rPr>
            </w:pPr>
            <w:r>
              <w:rPr>
                <w:rFonts w:hint="default" w:ascii="Times New Roman" w:hAnsi="Times New Roman" w:cs="Times New Roman"/>
                <w:kern w:val="0"/>
                <w:sz w:val="24"/>
              </w:rPr>
              <w:t>根据</w:t>
            </w:r>
            <w:r>
              <w:rPr>
                <w:rFonts w:hint="default" w:ascii="Times New Roman" w:hAnsi="Times New Roman" w:cs="Times New Roman"/>
                <w:spacing w:val="-10"/>
                <w:sz w:val="24"/>
              </w:rPr>
              <w:t>2017年《廊坊市环境质量概要》，廊坊市区空气质量（剔除沙尘影响），PM</w:t>
            </w:r>
            <w:r>
              <w:rPr>
                <w:rFonts w:hint="default" w:ascii="Times New Roman" w:hAnsi="Times New Roman" w:cs="Times New Roman"/>
                <w:spacing w:val="-10"/>
                <w:sz w:val="24"/>
                <w:vertAlign w:val="subscript"/>
              </w:rPr>
              <w:t>10</w:t>
            </w:r>
            <w:r>
              <w:rPr>
                <w:rFonts w:hint="default" w:ascii="Times New Roman" w:hAnsi="Times New Roman" w:cs="Times New Roman"/>
                <w:spacing w:val="-10"/>
                <w:sz w:val="24"/>
              </w:rPr>
              <w:t>年均浓度值为102μg/m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 xml:space="preserve"> ，PM</w:t>
            </w:r>
            <w:r>
              <w:rPr>
                <w:rFonts w:hint="default" w:ascii="Times New Roman" w:hAnsi="Times New Roman" w:cs="Times New Roman"/>
                <w:spacing w:val="-10"/>
                <w:sz w:val="24"/>
                <w:vertAlign w:val="subscript"/>
              </w:rPr>
              <w:t>2.5</w:t>
            </w:r>
            <w:r>
              <w:rPr>
                <w:rFonts w:hint="default" w:ascii="Times New Roman" w:hAnsi="Times New Roman" w:cs="Times New Roman"/>
                <w:spacing w:val="-10"/>
                <w:sz w:val="24"/>
              </w:rPr>
              <w:t>年均浓度值为60μg/m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 xml:space="preserve"> ，SO</w:t>
            </w:r>
            <w:r>
              <w:rPr>
                <w:rFonts w:hint="default" w:ascii="Times New Roman" w:hAnsi="Times New Roman" w:cs="Times New Roman"/>
                <w:spacing w:val="-10"/>
                <w:sz w:val="24"/>
                <w:vertAlign w:val="subscript"/>
              </w:rPr>
              <w:t>2</w:t>
            </w:r>
            <w:r>
              <w:rPr>
                <w:rFonts w:hint="default" w:ascii="Times New Roman" w:hAnsi="Times New Roman" w:cs="Times New Roman"/>
                <w:spacing w:val="-10"/>
                <w:sz w:val="24"/>
              </w:rPr>
              <w:t>年均浓度值为14 μg/m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 xml:space="preserve"> ，NO</w:t>
            </w:r>
            <w:r>
              <w:rPr>
                <w:rFonts w:hint="default" w:ascii="Times New Roman" w:hAnsi="Times New Roman" w:cs="Times New Roman"/>
                <w:spacing w:val="-10"/>
                <w:sz w:val="24"/>
                <w:vertAlign w:val="subscript"/>
              </w:rPr>
              <w:t>2</w:t>
            </w:r>
            <w:r>
              <w:rPr>
                <w:rFonts w:hint="default" w:ascii="Times New Roman" w:hAnsi="Times New Roman" w:cs="Times New Roman"/>
                <w:spacing w:val="-10"/>
                <w:sz w:val="24"/>
              </w:rPr>
              <w:t>年均浓度值为48μg/m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 xml:space="preserve"> ，CO日平均值的第95百分位数为2.9 mg/m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 xml:space="preserve"> ，O</w:t>
            </w:r>
            <w:r>
              <w:rPr>
                <w:rFonts w:hint="default" w:ascii="Times New Roman" w:hAnsi="Times New Roman" w:cs="Times New Roman"/>
                <w:spacing w:val="-10"/>
                <w:sz w:val="24"/>
                <w:vertAlign w:val="subscript"/>
              </w:rPr>
              <w:t>3</w:t>
            </w:r>
            <w:r>
              <w:rPr>
                <w:rFonts w:hint="default" w:ascii="Times New Roman" w:hAnsi="Times New Roman" w:cs="Times New Roman"/>
                <w:spacing w:val="-10"/>
                <w:sz w:val="24"/>
              </w:rPr>
              <w:t>日最大8小时滑动平均值的第90百分位数为207μg/m</w:t>
            </w:r>
            <w:r>
              <w:rPr>
                <w:rFonts w:hint="default" w:ascii="Times New Roman" w:hAnsi="Times New Roman" w:cs="Times New Roman"/>
                <w:spacing w:val="-10"/>
                <w:sz w:val="24"/>
                <w:vertAlign w:val="superscript"/>
              </w:rPr>
              <w:t>3</w:t>
            </w:r>
            <w:r>
              <w:rPr>
                <w:rFonts w:hint="default" w:ascii="Times New Roman" w:hAnsi="Times New Roman" w:cs="Times New Roman"/>
                <w:spacing w:val="-10"/>
                <w:sz w:val="24"/>
              </w:rPr>
              <w:t>。</w:t>
            </w:r>
            <w:r>
              <w:rPr>
                <w:rFonts w:hint="default" w:ascii="Times New Roman" w:hAnsi="Times New Roman" w:cs="Times New Roman"/>
                <w:sz w:val="24"/>
              </w:rPr>
              <w:t>PM</w:t>
            </w:r>
            <w:r>
              <w:rPr>
                <w:rFonts w:hint="default" w:ascii="Times New Roman" w:hAnsi="Times New Roman" w:cs="Times New Roman"/>
                <w:sz w:val="24"/>
                <w:vertAlign w:val="subscript"/>
              </w:rPr>
              <w:t>10</w:t>
            </w:r>
            <w:r>
              <w:rPr>
                <w:rFonts w:hint="default" w:ascii="Times New Roman" w:hAnsi="Times New Roman" w:cs="Times New Roman"/>
                <w:sz w:val="24"/>
              </w:rPr>
              <w:t>、PM</w:t>
            </w:r>
            <w:r>
              <w:rPr>
                <w:rFonts w:hint="default" w:ascii="Times New Roman" w:hAnsi="Times New Roman" w:cs="Times New Roman"/>
                <w:sz w:val="24"/>
                <w:vertAlign w:val="subscript"/>
              </w:rPr>
              <w:t>2.5</w:t>
            </w:r>
            <w:r>
              <w:rPr>
                <w:rFonts w:hint="default" w:ascii="Times New Roman" w:hAnsi="Times New Roman" w:cs="Times New Roman"/>
                <w:sz w:val="24"/>
              </w:rPr>
              <w:t>、SO</w:t>
            </w:r>
            <w:r>
              <w:rPr>
                <w:rFonts w:hint="default" w:ascii="Times New Roman" w:hAnsi="Times New Roman" w:cs="Times New Roman"/>
                <w:sz w:val="24"/>
                <w:vertAlign w:val="subscript"/>
              </w:rPr>
              <w:t>2</w:t>
            </w:r>
            <w:r>
              <w:rPr>
                <w:rFonts w:hint="default" w:ascii="Times New Roman" w:hAnsi="Times New Roman" w:cs="Times New Roman"/>
                <w:sz w:val="24"/>
              </w:rPr>
              <w:t>、</w:t>
            </w:r>
            <w:r>
              <w:rPr>
                <w:rFonts w:hint="default" w:ascii="Times New Roman" w:hAnsi="Times New Roman" w:cs="Times New Roman"/>
                <w:spacing w:val="-10"/>
                <w:sz w:val="24"/>
              </w:rPr>
              <w:t>NO</w:t>
            </w:r>
            <w:r>
              <w:rPr>
                <w:rFonts w:hint="default" w:ascii="Times New Roman" w:hAnsi="Times New Roman" w:cs="Times New Roman"/>
                <w:spacing w:val="-10"/>
                <w:sz w:val="24"/>
                <w:vertAlign w:val="subscript"/>
              </w:rPr>
              <w:t>2</w:t>
            </w:r>
            <w:r>
              <w:rPr>
                <w:rFonts w:hint="default" w:ascii="Times New Roman" w:hAnsi="Times New Roman" w:cs="Times New Roman"/>
                <w:sz w:val="24"/>
              </w:rPr>
              <w:t>、</w:t>
            </w:r>
            <w:r>
              <w:rPr>
                <w:rFonts w:hint="default" w:ascii="Times New Roman" w:hAnsi="Times New Roman" w:cs="Times New Roman"/>
                <w:spacing w:val="-10"/>
                <w:sz w:val="24"/>
              </w:rPr>
              <w:t>CO</w:t>
            </w:r>
            <w:r>
              <w:rPr>
                <w:rFonts w:hint="default" w:ascii="Times New Roman" w:hAnsi="Times New Roman" w:cs="Times New Roman"/>
                <w:sz w:val="24"/>
              </w:rPr>
              <w:t>浓度与上年相比分别下降8.93%、9.09%、22.22%、7.69%、17.14%，</w:t>
            </w:r>
            <w:r>
              <w:rPr>
                <w:rFonts w:hint="default" w:ascii="Times New Roman" w:hAnsi="Times New Roman" w:cs="Times New Roman"/>
                <w:spacing w:val="-10"/>
                <w:sz w:val="24"/>
              </w:rPr>
              <w:t xml:space="preserve"> O</w:t>
            </w:r>
            <w:r>
              <w:rPr>
                <w:rFonts w:hint="default" w:ascii="Times New Roman" w:hAnsi="Times New Roman" w:cs="Times New Roman"/>
                <w:spacing w:val="-10"/>
                <w:sz w:val="24"/>
                <w:vertAlign w:val="subscript"/>
              </w:rPr>
              <w:t>3</w:t>
            </w:r>
            <w:r>
              <w:rPr>
                <w:rFonts w:hint="default" w:ascii="Times New Roman" w:hAnsi="Times New Roman" w:cs="Times New Roman"/>
                <w:sz w:val="24"/>
              </w:rPr>
              <w:t>浓度与上年相比上升13.74%。</w:t>
            </w:r>
            <w:r>
              <w:rPr>
                <w:rFonts w:hint="default" w:ascii="Times New Roman" w:hAnsi="Times New Roman" w:cs="Times New Roman"/>
                <w:spacing w:val="-10"/>
                <w:sz w:val="24"/>
              </w:rPr>
              <w:t>SO</w:t>
            </w:r>
            <w:r>
              <w:rPr>
                <w:rFonts w:hint="default" w:ascii="Times New Roman" w:hAnsi="Times New Roman" w:cs="Times New Roman"/>
                <w:spacing w:val="-10"/>
                <w:sz w:val="24"/>
                <w:vertAlign w:val="subscript"/>
              </w:rPr>
              <w:t>2</w:t>
            </w:r>
            <w:r>
              <w:rPr>
                <w:rFonts w:hint="default" w:ascii="Times New Roman" w:hAnsi="Times New Roman" w:cs="Times New Roman"/>
                <w:spacing w:val="-10"/>
                <w:sz w:val="24"/>
              </w:rPr>
              <w:t>、 CO浓度达到《环境空气质量标准》（GB3095-2012）中二级标准， PM</w:t>
            </w:r>
            <w:r>
              <w:rPr>
                <w:rFonts w:hint="default" w:ascii="Times New Roman" w:hAnsi="Times New Roman" w:cs="Times New Roman"/>
                <w:spacing w:val="-10"/>
                <w:sz w:val="24"/>
                <w:vertAlign w:val="subscript"/>
              </w:rPr>
              <w:t>10</w:t>
            </w:r>
            <w:r>
              <w:rPr>
                <w:rFonts w:hint="default" w:ascii="Times New Roman" w:hAnsi="Times New Roman" w:cs="Times New Roman"/>
                <w:spacing w:val="-10"/>
                <w:sz w:val="24"/>
              </w:rPr>
              <w:t>、PM</w:t>
            </w:r>
            <w:r>
              <w:rPr>
                <w:rFonts w:hint="default" w:ascii="Times New Roman" w:hAnsi="Times New Roman" w:cs="Times New Roman"/>
                <w:spacing w:val="-10"/>
                <w:sz w:val="24"/>
                <w:vertAlign w:val="subscript"/>
              </w:rPr>
              <w:t>2.5</w:t>
            </w:r>
            <w:r>
              <w:rPr>
                <w:rFonts w:hint="default" w:ascii="Times New Roman" w:hAnsi="Times New Roman" w:cs="Times New Roman"/>
                <w:spacing w:val="-10"/>
                <w:sz w:val="24"/>
              </w:rPr>
              <w:t>、 NO</w:t>
            </w:r>
            <w:r>
              <w:rPr>
                <w:rFonts w:hint="default" w:ascii="Times New Roman" w:hAnsi="Times New Roman" w:cs="Times New Roman"/>
                <w:spacing w:val="-10"/>
                <w:sz w:val="24"/>
                <w:vertAlign w:val="subscript"/>
              </w:rPr>
              <w:t>2</w:t>
            </w:r>
            <w:r>
              <w:rPr>
                <w:rFonts w:hint="default" w:ascii="Times New Roman" w:hAnsi="Times New Roman" w:cs="Times New Roman"/>
                <w:spacing w:val="-10"/>
                <w:sz w:val="24"/>
              </w:rPr>
              <w:t>和O</w:t>
            </w:r>
            <w:r>
              <w:rPr>
                <w:rFonts w:hint="default" w:ascii="Times New Roman" w:hAnsi="Times New Roman" w:cs="Times New Roman"/>
                <w:spacing w:val="-10"/>
                <w:sz w:val="24"/>
                <w:vertAlign w:val="subscript"/>
              </w:rPr>
              <w:t>3</w:t>
            </w:r>
            <w:r>
              <w:rPr>
                <w:rFonts w:hint="default" w:ascii="Times New Roman" w:hAnsi="Times New Roman" w:cs="Times New Roman"/>
                <w:spacing w:val="-10"/>
                <w:sz w:val="24"/>
              </w:rPr>
              <w:t>浓度均超标，分别超标0.46倍、0.71倍、0.20倍和0.29倍。</w:t>
            </w:r>
          </w:p>
          <w:p>
            <w:pPr>
              <w:widowControl/>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2017年，廊坊各县环境空气质量（剔除沙尘影响），SO</w:t>
            </w:r>
            <w:r>
              <w:rPr>
                <w:rFonts w:hint="default" w:ascii="Times New Roman" w:hAnsi="Times New Roman" w:cs="Times New Roman"/>
                <w:sz w:val="24"/>
                <w:vertAlign w:val="subscript"/>
              </w:rPr>
              <w:t>2</w:t>
            </w:r>
            <w:r>
              <w:rPr>
                <w:rFonts w:hint="default" w:ascii="Times New Roman" w:hAnsi="Times New Roman" w:cs="Times New Roman"/>
                <w:sz w:val="24"/>
              </w:rPr>
              <w:t>、CO浓度均达到《环境空气质量标准》（GB3095-2012）二级标准； NO</w:t>
            </w:r>
            <w:r>
              <w:rPr>
                <w:rFonts w:hint="default" w:ascii="Times New Roman" w:hAnsi="Times New Roman" w:cs="Times New Roman"/>
                <w:sz w:val="24"/>
                <w:vertAlign w:val="subscript"/>
              </w:rPr>
              <w:t>2</w:t>
            </w:r>
            <w:r>
              <w:rPr>
                <w:rFonts w:hint="default" w:ascii="Times New Roman" w:hAnsi="Times New Roman" w:cs="Times New Roman"/>
                <w:sz w:val="24"/>
              </w:rPr>
              <w:t>浓度：大厂县、香河县、文安县、固安县达到二级标准，三河市、永清县、大城县、霸州市超标；PM</w:t>
            </w:r>
            <w:r>
              <w:rPr>
                <w:rFonts w:hint="default" w:ascii="Times New Roman" w:hAnsi="Times New Roman" w:cs="Times New Roman"/>
                <w:sz w:val="24"/>
                <w:vertAlign w:val="subscript"/>
              </w:rPr>
              <w:t>10</w:t>
            </w:r>
            <w:r>
              <w:rPr>
                <w:rFonts w:hint="default" w:ascii="Times New Roman" w:hAnsi="Times New Roman" w:cs="Times New Roman"/>
                <w:sz w:val="24"/>
              </w:rPr>
              <w:t>、PM</w:t>
            </w:r>
            <w:r>
              <w:rPr>
                <w:rFonts w:hint="default" w:ascii="Times New Roman" w:hAnsi="Times New Roman" w:cs="Times New Roman"/>
                <w:sz w:val="24"/>
                <w:vertAlign w:val="subscript"/>
              </w:rPr>
              <w:t>2.5</w:t>
            </w:r>
            <w:r>
              <w:rPr>
                <w:rFonts w:hint="default" w:ascii="Times New Roman" w:hAnsi="Times New Roman" w:cs="Times New Roman"/>
                <w:sz w:val="24"/>
              </w:rPr>
              <w:t>和O</w:t>
            </w:r>
            <w:r>
              <w:rPr>
                <w:rFonts w:hint="default" w:ascii="Times New Roman" w:hAnsi="Times New Roman" w:cs="Times New Roman"/>
                <w:sz w:val="24"/>
                <w:vertAlign w:val="subscript"/>
              </w:rPr>
              <w:t>3</w:t>
            </w:r>
            <w:r>
              <w:rPr>
                <w:rFonts w:hint="default" w:ascii="Times New Roman" w:hAnsi="Times New Roman" w:cs="Times New Roman"/>
                <w:sz w:val="24"/>
              </w:rPr>
              <w:t>浓度均超标。</w:t>
            </w:r>
          </w:p>
          <w:p>
            <w:pPr>
              <w:widowControl/>
              <w:spacing w:line="460" w:lineRule="exact"/>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sz w:val="24"/>
              </w:rPr>
              <w:t>经判定该项目区域属于环境空气质量非达标区。</w:t>
            </w:r>
            <w:r>
              <w:rPr>
                <w:rFonts w:hint="default" w:ascii="Times New Roman" w:hAnsi="Times New Roman" w:cs="Times New Roman"/>
                <w:color w:val="000000"/>
                <w:sz w:val="24"/>
              </w:rPr>
              <w:br w:type="textWrapping"/>
            </w:r>
            <w:r>
              <w:rPr>
                <w:rFonts w:hint="eastAsia" w:ascii="Times New Roman" w:hAnsi="Times New Roman" w:cs="Times New Roman"/>
                <w:color w:val="000000"/>
                <w:sz w:val="24"/>
                <w:lang w:val="en-US" w:eastAsia="zh-CN"/>
              </w:rPr>
              <w:t xml:space="preserve">  </w:t>
            </w:r>
            <w:r>
              <w:rPr>
                <w:rFonts w:hint="eastAsia" w:ascii="Times New Roman" w:hAnsi="Times New Roman" w:cs="Times New Roman"/>
                <w:color w:val="000000"/>
                <w:sz w:val="24"/>
              </w:rPr>
              <w:t xml:space="preserve"> </w:t>
            </w:r>
            <w:r>
              <w:rPr>
                <w:rFonts w:hint="eastAsia" w:ascii="Times New Roman" w:hAnsi="Times New Roman" w:cs="Times New Roman"/>
                <w:color w:val="000000"/>
                <w:sz w:val="24"/>
                <w:lang w:val="en-US" w:eastAsia="zh-CN"/>
              </w:rPr>
              <w:t xml:space="preserve"> </w:t>
            </w:r>
            <w:r>
              <w:rPr>
                <w:rFonts w:hint="eastAsia" w:ascii="Times New Roman" w:hAnsi="Times New Roman" w:cs="Times New Roman"/>
                <w:b/>
                <w:bCs/>
                <w:color w:val="000000"/>
                <w:sz w:val="24"/>
              </w:rPr>
              <w:t>2</w:t>
            </w:r>
            <w:r>
              <w:rPr>
                <w:rFonts w:hint="default" w:ascii="Times New Roman" w:hAnsi="Times New Roman" w:cs="Times New Roman"/>
                <w:b/>
                <w:bCs/>
                <w:color w:val="000000"/>
                <w:sz w:val="24"/>
              </w:rPr>
              <w:t>、声环境</w:t>
            </w:r>
            <w:r>
              <w:rPr>
                <w:rFonts w:hint="default" w:ascii="Times New Roman" w:hAnsi="Times New Roman" w:cs="Times New Roman"/>
                <w:color w:val="000000"/>
                <w:sz w:val="24"/>
                <w:lang w:eastAsia="zh-CN"/>
              </w:rPr>
              <w:br w:type="textWrapping"/>
            </w:r>
            <w:r>
              <w:rPr>
                <w:rFonts w:hint="eastAsia" w:ascii="Times New Roman" w:hAnsi="Times New Roman" w:cs="Times New Roman"/>
                <w:color w:val="000000"/>
                <w:sz w:val="24"/>
                <w:lang w:eastAsia="zh-CN"/>
              </w:rPr>
              <w:t xml:space="preserve">  </w:t>
            </w:r>
            <w:r>
              <w:rPr>
                <w:rFonts w:hint="default" w:ascii="Times New Roman" w:hAnsi="Times New Roman" w:cs="Times New Roman"/>
                <w:color w:val="000000"/>
                <w:sz w:val="24"/>
                <w:lang w:eastAsia="zh-CN"/>
              </w:rPr>
              <w:t>项目所在地声环境质量较好，满足《声环境质量标准》（GB3096-2008）</w:t>
            </w:r>
            <w:r>
              <w:rPr>
                <w:rFonts w:hint="eastAsia" w:ascii="Times New Roman" w:hAnsi="Times New Roman" w:cs="Times New Roman"/>
                <w:color w:val="000000"/>
                <w:sz w:val="24"/>
                <w:lang w:eastAsia="zh-CN"/>
              </w:rPr>
              <w:t>2</w:t>
            </w:r>
            <w:r>
              <w:rPr>
                <w:rFonts w:hint="default" w:ascii="Times New Roman" w:hAnsi="Times New Roman" w:cs="Times New Roman"/>
                <w:color w:val="000000"/>
                <w:sz w:val="24"/>
                <w:lang w:eastAsia="zh-CN"/>
              </w:rPr>
              <w:t>类</w:t>
            </w:r>
            <w:r>
              <w:rPr>
                <w:rFonts w:hint="eastAsia" w:ascii="Times New Roman" w:hAnsi="Times New Roman" w:cs="Times New Roman"/>
                <w:color w:val="000000"/>
                <w:sz w:val="24"/>
                <w:lang w:eastAsia="zh-CN"/>
              </w:rPr>
              <w:t>和</w:t>
            </w:r>
            <w:r>
              <w:rPr>
                <w:rFonts w:hint="eastAsia" w:ascii="Times New Roman" w:hAnsi="Times New Roman" w:cs="Times New Roman"/>
                <w:color w:val="000000"/>
                <w:sz w:val="24"/>
                <w:lang w:val="en-US" w:eastAsia="zh-CN"/>
              </w:rPr>
              <w:t>4a</w:t>
            </w:r>
            <w:r>
              <w:rPr>
                <w:rFonts w:hint="default" w:ascii="Times New Roman" w:hAnsi="Times New Roman" w:cs="Times New Roman"/>
                <w:color w:val="000000"/>
                <w:sz w:val="24"/>
                <w:lang w:eastAsia="zh-CN"/>
              </w:rPr>
              <w:t>标准。</w:t>
            </w:r>
          </w:p>
          <w:p>
            <w:pPr>
              <w:widowControl/>
              <w:spacing w:line="460" w:lineRule="exact"/>
              <w:ind w:firstLine="482" w:firstLineChars="200"/>
              <w:rPr>
                <w:rFonts w:hint="eastAsia" w:ascii="Times New Roman" w:hAnsi="Times New Roman" w:cs="Times New Roman"/>
                <w:color w:val="000000"/>
                <w:sz w:val="24"/>
                <w:lang w:eastAsia="zh-CN"/>
              </w:rPr>
            </w:pPr>
            <w:r>
              <w:rPr>
                <w:rFonts w:hint="eastAsia" w:ascii="Times New Roman" w:hAnsi="Times New Roman" w:cs="Times New Roman"/>
                <w:b/>
                <w:bCs/>
                <w:color w:val="000000"/>
                <w:sz w:val="24"/>
                <w:lang w:eastAsia="zh-CN"/>
              </w:rPr>
              <w:t>3、地表水</w:t>
            </w:r>
          </w:p>
          <w:p>
            <w:pPr>
              <w:widowControl/>
              <w:spacing w:line="460" w:lineRule="exact"/>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项目所在</w:t>
            </w:r>
            <w:r>
              <w:rPr>
                <w:rFonts w:hint="eastAsia" w:ascii="Times New Roman" w:hAnsi="Times New Roman" w:cs="Times New Roman"/>
                <w:color w:val="000000"/>
                <w:sz w:val="24"/>
                <w:lang w:eastAsia="zh-CN"/>
              </w:rPr>
              <w:t>水环境质量满足《地表水环境质量》（</w:t>
            </w:r>
            <w:r>
              <w:rPr>
                <w:rFonts w:hint="default" w:ascii="Times New Roman" w:hAnsi="Times New Roman" w:cs="Times New Roman"/>
                <w:color w:val="000000"/>
                <w:sz w:val="24"/>
                <w:lang w:eastAsia="zh-CN"/>
              </w:rPr>
              <w:t>GB3838-2002</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lang w:eastAsia="zh-CN"/>
              </w:rPr>
              <w:fldChar w:fldCharType="begin"/>
            </w:r>
            <w:r>
              <w:rPr>
                <w:rFonts w:hint="default" w:ascii="Times New Roman" w:hAnsi="Times New Roman" w:cs="Times New Roman"/>
                <w:color w:val="000000"/>
                <w:sz w:val="24"/>
                <w:lang w:eastAsia="zh-CN"/>
              </w:rPr>
              <w:instrText xml:space="preserve"> </w:instrText>
            </w:r>
            <w:r>
              <w:rPr>
                <w:rFonts w:hint="eastAsia" w:ascii="Times New Roman" w:hAnsi="Times New Roman" w:cs="Times New Roman"/>
                <w:color w:val="000000"/>
                <w:sz w:val="24"/>
                <w:lang w:eastAsia="zh-CN"/>
              </w:rPr>
              <w:instrText xml:space="preserve">= 5 \* ROMAN</w:instrText>
            </w:r>
            <w:r>
              <w:rPr>
                <w:rFonts w:hint="default" w:ascii="Times New Roman" w:hAnsi="Times New Roman" w:cs="Times New Roman"/>
                <w:color w:val="000000"/>
                <w:sz w:val="24"/>
                <w:lang w:eastAsia="zh-CN"/>
              </w:rPr>
              <w:instrText xml:space="preserve"> </w:instrText>
            </w:r>
            <w:r>
              <w:rPr>
                <w:rFonts w:hint="default" w:ascii="Times New Roman" w:hAnsi="Times New Roman" w:cs="Times New Roman"/>
                <w:color w:val="000000"/>
                <w:sz w:val="24"/>
                <w:lang w:eastAsia="zh-CN"/>
              </w:rPr>
              <w:fldChar w:fldCharType="separate"/>
            </w:r>
            <w:r>
              <w:rPr>
                <w:rFonts w:hint="default" w:ascii="Times New Roman" w:hAnsi="Times New Roman" w:cs="Times New Roman"/>
                <w:color w:val="000000"/>
                <w:sz w:val="24"/>
                <w:lang w:eastAsia="zh-CN"/>
              </w:rPr>
              <w:t>V</w:t>
            </w:r>
            <w:r>
              <w:rPr>
                <w:rFonts w:hint="default" w:ascii="Times New Roman" w:hAnsi="Times New Roman" w:cs="Times New Roman"/>
                <w:color w:val="000000"/>
                <w:sz w:val="24"/>
                <w:lang w:eastAsia="zh-CN"/>
              </w:rPr>
              <w:fldChar w:fldCharType="end"/>
            </w:r>
            <w:r>
              <w:rPr>
                <w:rFonts w:hint="eastAsia" w:ascii="Times New Roman" w:hAnsi="Times New Roman" w:cs="Times New Roman"/>
                <w:color w:val="000000"/>
                <w:sz w:val="24"/>
                <w:lang w:eastAsia="zh-CN"/>
              </w:rPr>
              <w:t>类标准要求。</w:t>
            </w:r>
          </w:p>
          <w:p>
            <w:pPr>
              <w:widowControl/>
              <w:spacing w:line="460" w:lineRule="exact"/>
              <w:ind w:firstLine="482" w:firstLineChars="200"/>
              <w:rPr>
                <w:rFonts w:hint="eastAsia" w:ascii="Times New Roman" w:hAnsi="Times New Roman" w:cs="Times New Roman"/>
                <w:b/>
                <w:bCs/>
                <w:color w:val="000000"/>
                <w:sz w:val="24"/>
                <w:lang w:eastAsia="zh-CN"/>
              </w:rPr>
            </w:pPr>
            <w:r>
              <w:rPr>
                <w:rFonts w:hint="eastAsia" w:ascii="Times New Roman" w:hAnsi="Times New Roman" w:cs="Times New Roman"/>
                <w:b/>
                <w:bCs/>
                <w:color w:val="000000"/>
                <w:sz w:val="24"/>
                <w:lang w:val="en-US" w:eastAsia="zh-CN"/>
              </w:rPr>
              <w:t>4</w:t>
            </w:r>
            <w:r>
              <w:rPr>
                <w:rFonts w:hint="eastAsia" w:ascii="Times New Roman" w:hAnsi="Times New Roman" w:cs="Times New Roman"/>
                <w:b/>
                <w:bCs/>
                <w:color w:val="000000"/>
                <w:sz w:val="24"/>
                <w:lang w:eastAsia="zh-CN"/>
              </w:rPr>
              <w:t>、</w:t>
            </w:r>
            <w:r>
              <w:rPr>
                <w:rFonts w:hint="default" w:ascii="Times New Roman" w:hAnsi="Times New Roman" w:cs="Times New Roman"/>
                <w:b/>
                <w:bCs/>
                <w:color w:val="000000"/>
                <w:sz w:val="24"/>
                <w:lang w:eastAsia="zh-CN"/>
              </w:rPr>
              <w:t>生态环境质量现状</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sz w:val="24"/>
              </w:rPr>
              <w:t>建设项目周围无水源地、文物保护对象和名胜风景区，地处农村地区，生态环境质量一般。</w:t>
            </w:r>
          </w:p>
          <w:p>
            <w:pPr>
              <w:spacing w:line="480" w:lineRule="exact"/>
              <w:ind w:firstLine="480" w:firstLineChars="200"/>
              <w:textAlignment w:val="baseline"/>
              <w:rPr>
                <w:rFonts w:hint="default" w:ascii="Times New Roman" w:hAnsi="Times New Roman" w:cs="Times New Roman"/>
                <w:color w:val="000000"/>
                <w:sz w:val="24"/>
              </w:rPr>
            </w:pPr>
          </w:p>
          <w:p>
            <w:pPr>
              <w:spacing w:line="480" w:lineRule="exact"/>
              <w:ind w:firstLine="480" w:firstLineChars="200"/>
              <w:textAlignment w:val="baseline"/>
              <w:rPr>
                <w:rFonts w:hint="default" w:ascii="Times New Roman" w:hAnsi="Times New Roman" w:cs="Times New Roman"/>
                <w:color w:val="000000"/>
                <w:sz w:val="24"/>
              </w:rPr>
            </w:pPr>
          </w:p>
          <w:p>
            <w:pPr>
              <w:spacing w:line="480" w:lineRule="exact"/>
              <w:textAlignment w:val="baseline"/>
              <w:rPr>
                <w:rFonts w:hint="default" w:ascii="Times New Roman" w:hAnsi="Times New Roman" w:cs="Times New Roman"/>
                <w:color w:val="000000"/>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9" w:hRule="atLeast"/>
        </w:trPr>
        <w:tc>
          <w:tcPr>
            <w:tcW w:w="8949" w:type="dxa"/>
            <w:noWrap w:val="0"/>
            <w:vAlign w:val="top"/>
          </w:tcPr>
          <w:p>
            <w:pPr>
              <w:spacing w:line="360" w:lineRule="auto"/>
              <w:rPr>
                <w:rFonts w:hint="default" w:ascii="Times New Roman" w:hAnsi="Times New Roman" w:cs="Times New Roman"/>
                <w:b/>
                <w:bCs/>
                <w:sz w:val="24"/>
                <w:highlight w:val="none"/>
              </w:rPr>
            </w:pPr>
            <w:r>
              <w:rPr>
                <w:rFonts w:hint="default" w:ascii="Times New Roman" w:hAnsi="Times New Roman" w:cs="Times New Roman"/>
                <w:b/>
                <w:bCs/>
                <w:sz w:val="24"/>
                <w:highlight w:val="none"/>
              </w:rPr>
              <w:t>主要环境保护目标（列出名单及保护级别）：</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9"/>
              <w:rPr>
                <w:rFonts w:hint="default" w:ascii="Times New Roman" w:hAnsi="Times New Roman" w:cs="Times New Roman"/>
                <w:bCs/>
                <w:sz w:val="24"/>
                <w:highlight w:val="yellow"/>
              </w:rPr>
            </w:pPr>
            <w:r>
              <w:rPr>
                <w:rFonts w:hint="default" w:ascii="Times New Roman" w:hAnsi="Times New Roman" w:cs="Times New Roman"/>
                <w:bCs/>
                <w:sz w:val="24"/>
                <w:highlight w:val="none"/>
              </w:rPr>
              <w:t>本项目位于</w:t>
            </w:r>
            <w:r>
              <w:rPr>
                <w:rFonts w:hint="eastAsia" w:ascii="Times New Roman" w:hAnsi="Times New Roman" w:cs="Times New Roman"/>
                <w:sz w:val="24"/>
                <w:highlight w:val="none"/>
                <w:lang w:eastAsia="zh-CN"/>
              </w:rPr>
              <w:t>河北省廊坊市大城县里坦镇流源庄村</w:t>
            </w:r>
            <w:r>
              <w:rPr>
                <w:rFonts w:hint="default" w:ascii="Times New Roman" w:hAnsi="Times New Roman" w:cs="Times New Roman"/>
                <w:bCs/>
                <w:sz w:val="24"/>
                <w:highlight w:val="none"/>
              </w:rPr>
              <w:t>，</w:t>
            </w:r>
            <w:r>
              <w:rPr>
                <w:rFonts w:hint="eastAsia"/>
                <w:bCs/>
                <w:sz w:val="24"/>
                <w:highlight w:val="none"/>
                <w:lang w:eastAsia="zh-CN"/>
              </w:rPr>
              <w:t>项目</w:t>
            </w:r>
            <w:r>
              <w:rPr>
                <w:rFonts w:hint="eastAsia"/>
                <w:sz w:val="24"/>
                <w:szCs w:val="24"/>
                <w:lang w:eastAsia="zh-CN"/>
              </w:rPr>
              <w:t>东侧为空地，西侧为公路，南侧为流源庄村地，北侧为空地。</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9"/>
              <w:rPr>
                <w:rFonts w:hint="default" w:ascii="Times New Roman" w:hAnsi="Times New Roman" w:cs="Times New Roman"/>
                <w:sz w:val="24"/>
                <w:highlight w:val="none"/>
              </w:rPr>
            </w:pPr>
            <w:r>
              <w:rPr>
                <w:rFonts w:hint="default" w:ascii="Times New Roman" w:hAnsi="Times New Roman" w:cs="Times New Roman"/>
                <w:bCs/>
                <w:color w:val="000000"/>
                <w:sz w:val="24"/>
                <w:highlight w:val="none"/>
              </w:rPr>
              <w:t>项目所在区域范围内无自然保护区、风景名胜区、国家重点保护文物或历史文化保护地，也无社会关注的具有历史、科学、民族、文化意义</w:t>
            </w:r>
            <w:r>
              <w:rPr>
                <w:rFonts w:hint="default" w:ascii="Times New Roman" w:hAnsi="Times New Roman" w:cs="Times New Roman"/>
                <w:sz w:val="24"/>
                <w:highlight w:val="none"/>
              </w:rPr>
              <w:t>的保护地。因此确定主要环境保护目标与保护等级见表</w:t>
            </w:r>
            <w:r>
              <w:rPr>
                <w:rFonts w:hint="eastAsia" w:ascii="Times New Roman" w:hAnsi="Times New Roman" w:cs="Times New Roman"/>
                <w:sz w:val="24"/>
                <w:highlight w:val="none"/>
                <w:lang w:val="en-US" w:eastAsia="zh-CN"/>
              </w:rPr>
              <w:t>6</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18" w:firstLineChars="200"/>
              <w:textAlignment w:val="auto"/>
              <w:outlineLvl w:val="9"/>
              <w:rPr>
                <w:rFonts w:hint="default" w:ascii="Times New Roman" w:hAnsi="Times New Roman" w:cs="Times New Roman"/>
                <w:szCs w:val="21"/>
                <w:highlight w:val="none"/>
              </w:rPr>
            </w:pPr>
            <w:r>
              <w:rPr>
                <w:rFonts w:hint="default" w:ascii="Times New Roman" w:hAnsi="Times New Roman" w:cs="Times New Roman"/>
                <w:b/>
                <w:spacing w:val="9"/>
                <w:sz w:val="24"/>
                <w:highlight w:val="none"/>
              </w:rPr>
              <w:t xml:space="preserve">            </w:t>
            </w:r>
            <w:r>
              <w:rPr>
                <w:rFonts w:hint="default" w:ascii="Times New Roman" w:hAnsi="Times New Roman" w:cs="Times New Roman"/>
                <w:b/>
                <w:spacing w:val="9"/>
                <w:szCs w:val="21"/>
                <w:highlight w:val="none"/>
              </w:rPr>
              <w:t xml:space="preserve">  </w:t>
            </w:r>
            <w:r>
              <w:rPr>
                <w:rFonts w:hint="default" w:ascii="Times New Roman" w:hAnsi="Times New Roman" w:cs="Times New Roman"/>
                <w:b/>
                <w:spacing w:val="9"/>
                <w:sz w:val="24"/>
                <w:highlight w:val="none"/>
              </w:rPr>
              <w:t>表</w:t>
            </w:r>
            <w:r>
              <w:rPr>
                <w:rFonts w:hint="eastAsia" w:ascii="Times New Roman" w:hAnsi="Times New Roman" w:cs="Times New Roman"/>
                <w:b/>
                <w:spacing w:val="9"/>
                <w:sz w:val="24"/>
                <w:highlight w:val="none"/>
                <w:lang w:val="en-US" w:eastAsia="zh-CN"/>
              </w:rPr>
              <w:t xml:space="preserve">6 </w:t>
            </w:r>
            <w:r>
              <w:rPr>
                <w:rFonts w:hint="default" w:ascii="Times New Roman" w:hAnsi="Times New Roman" w:cs="Times New Roman"/>
                <w:b/>
                <w:spacing w:val="9"/>
                <w:sz w:val="24"/>
                <w:highlight w:val="none"/>
              </w:rPr>
              <w:t xml:space="preserve"> 环境保护目标及保护级别</w:t>
            </w:r>
          </w:p>
          <w:tbl>
            <w:tblPr>
              <w:tblStyle w:val="37"/>
              <w:tblW w:w="873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449"/>
              <w:gridCol w:w="1432"/>
              <w:gridCol w:w="835"/>
              <w:gridCol w:w="699"/>
              <w:gridCol w:w="903"/>
              <w:gridCol w:w="1091"/>
              <w:gridCol w:w="17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5" w:type="dxa"/>
                  <w:vMerge w:val="restart"/>
                  <w:tcBorders>
                    <w:tl2br w:val="nil"/>
                    <w:tr2bl w:val="nil"/>
                  </w:tcBorders>
                  <w:noWrap w:val="0"/>
                  <w:vAlign w:val="center"/>
                </w:tcPr>
                <w:p>
                  <w:pPr>
                    <w:adjustRightInd w:val="0"/>
                    <w:snapToGrid w:val="0"/>
                    <w:spacing w:line="240" w:lineRule="atLeast"/>
                    <w:jc w:val="center"/>
                    <w:rPr>
                      <w:rFonts w:hint="default" w:ascii="Times New Roman" w:hAnsi="Times New Roman" w:eastAsia="宋体" w:cs="Times New Roman"/>
                      <w:b/>
                      <w:bCs/>
                      <w:sz w:val="21"/>
                      <w:szCs w:val="21"/>
                      <w:highlight w:val="none"/>
                      <w:lang w:eastAsia="zh-CN"/>
                    </w:rPr>
                  </w:pPr>
                  <w:r>
                    <w:rPr>
                      <w:rFonts w:hint="default" w:ascii="Times New Roman" w:hAnsi="Times New Roman" w:cs="Times New Roman"/>
                      <w:b/>
                      <w:bCs/>
                      <w:sz w:val="21"/>
                      <w:szCs w:val="21"/>
                      <w:highlight w:val="none"/>
                      <w:lang w:eastAsia="zh-CN"/>
                    </w:rPr>
                    <w:t>序号</w:t>
                  </w:r>
                </w:p>
              </w:tc>
              <w:tc>
                <w:tcPr>
                  <w:tcW w:w="2881" w:type="dxa"/>
                  <w:gridSpan w:val="2"/>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lang w:eastAsia="zh-CN"/>
                    </w:rPr>
                  </w:pPr>
                  <w:r>
                    <w:rPr>
                      <w:rFonts w:hint="default" w:ascii="Times New Roman" w:hAnsi="Times New Roman" w:cs="Times New Roman"/>
                      <w:b/>
                      <w:bCs/>
                      <w:sz w:val="21"/>
                      <w:szCs w:val="21"/>
                      <w:highlight w:val="none"/>
                      <w:lang w:eastAsia="zh-CN"/>
                    </w:rPr>
                    <w:t>坐标</w:t>
                  </w:r>
                </w:p>
              </w:tc>
              <w:tc>
                <w:tcPr>
                  <w:tcW w:w="835" w:type="dxa"/>
                  <w:vMerge w:val="restart"/>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环境保护对象</w:t>
                  </w:r>
                </w:p>
              </w:tc>
              <w:tc>
                <w:tcPr>
                  <w:tcW w:w="699" w:type="dxa"/>
                  <w:vMerge w:val="restart"/>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r>
                    <w:rPr>
                      <w:rFonts w:hint="default" w:ascii="Times New Roman" w:hAnsi="Times New Roman" w:cs="Times New Roman"/>
                      <w:b/>
                      <w:sz w:val="21"/>
                      <w:szCs w:val="21"/>
                      <w:highlight w:val="none"/>
                      <w:lang w:eastAsia="zh-CN"/>
                    </w:rPr>
                    <w:t>保护内容</w:t>
                  </w:r>
                </w:p>
              </w:tc>
              <w:tc>
                <w:tcPr>
                  <w:tcW w:w="903" w:type="dxa"/>
                  <w:vMerge w:val="restart"/>
                  <w:tcBorders>
                    <w:tl2br w:val="nil"/>
                    <w:tr2bl w:val="nil"/>
                  </w:tcBorders>
                  <w:noWrap w:val="0"/>
                  <w:vAlign w:val="center"/>
                </w:tcPr>
                <w:p>
                  <w:pPr>
                    <w:tabs>
                      <w:tab w:val="left" w:pos="624"/>
                    </w:tabs>
                    <w:jc w:val="center"/>
                    <w:rPr>
                      <w:rFonts w:hint="default" w:ascii="Times New Roman" w:hAnsi="Times New Roman" w:cs="Times New Roman"/>
                      <w:b/>
                      <w:bCs/>
                      <w:sz w:val="21"/>
                      <w:szCs w:val="21"/>
                      <w:highlight w:val="none"/>
                    </w:rPr>
                  </w:pPr>
                  <w:r>
                    <w:rPr>
                      <w:rFonts w:hint="default" w:ascii="Times New Roman" w:hAnsi="Times New Roman" w:cs="Times New Roman"/>
                      <w:b/>
                      <w:sz w:val="21"/>
                      <w:szCs w:val="21"/>
                      <w:highlight w:val="none"/>
                      <w:lang w:eastAsia="zh-CN"/>
                    </w:rPr>
                    <w:t>相对厂区方位</w:t>
                  </w:r>
                </w:p>
              </w:tc>
              <w:tc>
                <w:tcPr>
                  <w:tcW w:w="1091" w:type="dxa"/>
                  <w:vMerge w:val="restart"/>
                  <w:tcBorders>
                    <w:tl2br w:val="nil"/>
                    <w:tr2bl w:val="nil"/>
                  </w:tcBorders>
                  <w:noWrap w:val="0"/>
                  <w:vAlign w:val="center"/>
                </w:tcPr>
                <w:p>
                  <w:pPr>
                    <w:tabs>
                      <w:tab w:val="left" w:pos="624"/>
                    </w:tabs>
                    <w:jc w:val="center"/>
                    <w:rPr>
                      <w:rFonts w:hint="default" w:ascii="Times New Roman" w:hAnsi="Times New Roman" w:cs="Times New Roman"/>
                      <w:b/>
                      <w:bCs/>
                      <w:sz w:val="21"/>
                      <w:szCs w:val="21"/>
                      <w:highlight w:val="none"/>
                    </w:rPr>
                  </w:pPr>
                  <w:r>
                    <w:rPr>
                      <w:rFonts w:hint="default" w:ascii="Times New Roman" w:hAnsi="Times New Roman" w:cs="Times New Roman"/>
                      <w:b/>
                      <w:sz w:val="21"/>
                      <w:szCs w:val="21"/>
                      <w:highlight w:val="none"/>
                      <w:lang w:eastAsia="zh-CN"/>
                    </w:rPr>
                    <w:t>相对厂界距离（</w:t>
                  </w:r>
                  <w:r>
                    <w:rPr>
                      <w:rFonts w:hint="default" w:ascii="Times New Roman" w:hAnsi="Times New Roman" w:cs="Times New Roman"/>
                      <w:b/>
                      <w:sz w:val="21"/>
                      <w:szCs w:val="21"/>
                      <w:highlight w:val="none"/>
                      <w:lang w:val="en-US" w:eastAsia="zh-CN"/>
                    </w:rPr>
                    <w:t>m</w:t>
                  </w:r>
                  <w:r>
                    <w:rPr>
                      <w:rFonts w:hint="default" w:ascii="Times New Roman" w:hAnsi="Times New Roman" w:cs="Times New Roman"/>
                      <w:b/>
                      <w:sz w:val="21"/>
                      <w:szCs w:val="21"/>
                      <w:highlight w:val="none"/>
                      <w:lang w:eastAsia="zh-CN"/>
                    </w:rPr>
                    <w:t>）</w:t>
                  </w:r>
                </w:p>
              </w:tc>
              <w:tc>
                <w:tcPr>
                  <w:tcW w:w="1749" w:type="dxa"/>
                  <w:vMerge w:val="restart"/>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r>
                    <w:rPr>
                      <w:rFonts w:hint="default" w:ascii="Times New Roman" w:hAnsi="Times New Roman" w:cs="Times New Roman"/>
                      <w:b/>
                      <w:sz w:val="21"/>
                      <w:szCs w:val="21"/>
                      <w:highlight w:val="none"/>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5"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lang w:eastAsia="zh-CN"/>
                    </w:rPr>
                  </w:pPr>
                </w:p>
              </w:tc>
              <w:tc>
                <w:tcPr>
                  <w:tcW w:w="1449"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N</w:t>
                  </w:r>
                </w:p>
              </w:tc>
              <w:tc>
                <w:tcPr>
                  <w:tcW w:w="1432"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E</w:t>
                  </w:r>
                </w:p>
              </w:tc>
              <w:tc>
                <w:tcPr>
                  <w:tcW w:w="835"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p>
              </w:tc>
              <w:tc>
                <w:tcPr>
                  <w:tcW w:w="699"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p>
              </w:tc>
              <w:tc>
                <w:tcPr>
                  <w:tcW w:w="903"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p>
              </w:tc>
              <w:tc>
                <w:tcPr>
                  <w:tcW w:w="1091"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p>
              </w:tc>
              <w:tc>
                <w:tcPr>
                  <w:tcW w:w="1749" w:type="dxa"/>
                  <w:vMerge w:val="continue"/>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b/>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75" w:type="dxa"/>
                  <w:tcBorders>
                    <w:tl2br w:val="nil"/>
                    <w:tr2bl w:val="nil"/>
                  </w:tcBorders>
                  <w:noWrap w:val="0"/>
                  <w:vAlign w:val="center"/>
                </w:tcPr>
                <w:p>
                  <w:pPr>
                    <w:adjustRightInd w:val="0"/>
                    <w:snapToGrid w:val="0"/>
                    <w:spacing w:line="240" w:lineRule="atLeas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1449" w:type="dxa"/>
                  <w:tcBorders>
                    <w:tl2br w:val="nil"/>
                    <w:tr2bl w:val="nil"/>
                  </w:tcBorders>
                  <w:noWrap w:val="0"/>
                  <w:vAlign w:val="center"/>
                </w:tcPr>
                <w:p>
                  <w:pPr>
                    <w:adjustRightInd w:val="0"/>
                    <w:snapToGrid w:val="0"/>
                    <w:spacing w:line="240" w:lineRule="atLeast"/>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116°35'28.65"</w:t>
                  </w:r>
                </w:p>
              </w:tc>
              <w:tc>
                <w:tcPr>
                  <w:tcW w:w="1432" w:type="dxa"/>
                  <w:tcBorders>
                    <w:tl2br w:val="nil"/>
                    <w:tr2bl w:val="nil"/>
                  </w:tcBorders>
                  <w:noWrap w:val="0"/>
                  <w:vAlign w:val="center"/>
                </w:tcPr>
                <w:p>
                  <w:pPr>
                    <w:adjustRightInd w:val="0"/>
                    <w:snapToGrid w:val="0"/>
                    <w:spacing w:line="240" w:lineRule="atLeas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38</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33'06.44"</w:t>
                  </w:r>
                </w:p>
              </w:tc>
              <w:tc>
                <w:tcPr>
                  <w:tcW w:w="835"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流源庄村</w:t>
                  </w:r>
                </w:p>
              </w:tc>
              <w:tc>
                <w:tcPr>
                  <w:tcW w:w="699" w:type="dxa"/>
                  <w:tcBorders>
                    <w:tl2br w:val="nil"/>
                    <w:tr2bl w:val="nil"/>
                  </w:tcBorders>
                  <w:noWrap w:val="0"/>
                  <w:vAlign w:val="center"/>
                </w:tcPr>
                <w:p>
                  <w:pPr>
                    <w:pStyle w:val="62"/>
                    <w:adjustRightInd w:val="0"/>
                    <w:snapToGrid w:val="0"/>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color w:val="auto"/>
                      <w:spacing w:val="0"/>
                      <w:sz w:val="21"/>
                      <w:szCs w:val="21"/>
                      <w:highlight w:val="none"/>
                      <w:lang w:val="en-US" w:eastAsia="zh-CN"/>
                    </w:rPr>
                    <w:t>居民</w:t>
                  </w:r>
                </w:p>
              </w:tc>
              <w:tc>
                <w:tcPr>
                  <w:tcW w:w="903" w:type="dxa"/>
                  <w:tcBorders>
                    <w:tl2br w:val="nil"/>
                    <w:tr2bl w:val="nil"/>
                  </w:tcBorders>
                  <w:noWrap w:val="0"/>
                  <w:vAlign w:val="center"/>
                </w:tcPr>
                <w:p>
                  <w:pPr>
                    <w:pStyle w:val="62"/>
                    <w:adjustRightInd w:val="0"/>
                    <w:snapToGrid w:val="0"/>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pacing w:val="0"/>
                      <w:sz w:val="21"/>
                      <w:szCs w:val="21"/>
                      <w:highlight w:val="none"/>
                      <w:lang w:val="en-US" w:eastAsia="zh-CN"/>
                    </w:rPr>
                    <w:t>N</w:t>
                  </w:r>
                  <w:r>
                    <w:rPr>
                      <w:rFonts w:hint="default" w:ascii="Times New Roman" w:hAnsi="Times New Roman" w:cs="Times New Roman"/>
                      <w:spacing w:val="0"/>
                      <w:sz w:val="21"/>
                      <w:szCs w:val="21"/>
                      <w:highlight w:val="none"/>
                      <w:lang w:val="en-US" w:eastAsia="zh-CN"/>
                    </w:rPr>
                    <w:t>W</w:t>
                  </w:r>
                </w:p>
              </w:tc>
              <w:tc>
                <w:tcPr>
                  <w:tcW w:w="1091" w:type="dxa"/>
                  <w:tcBorders>
                    <w:tl2br w:val="nil"/>
                    <w:tr2bl w:val="nil"/>
                  </w:tcBorders>
                  <w:noWrap w:val="0"/>
                  <w:vAlign w:val="center"/>
                </w:tcPr>
                <w:p>
                  <w:pPr>
                    <w:pStyle w:val="62"/>
                    <w:adjustRightInd w:val="0"/>
                    <w:snapToGrid w:val="0"/>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713</w:t>
                  </w:r>
                </w:p>
              </w:tc>
              <w:tc>
                <w:tcPr>
                  <w:tcW w:w="1749"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《环境空气质量</w:t>
                  </w:r>
                </w:p>
                <w:p>
                  <w:pPr>
                    <w:adjustRightInd w:val="0"/>
                    <w:snapToGrid w:val="0"/>
                    <w:spacing w:line="240" w:lineRule="atLeas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标准》（GB3095-2012）</w:t>
                  </w:r>
                </w:p>
                <w:p>
                  <w:pPr>
                    <w:adjustRightInd w:val="0"/>
                    <w:snapToGrid w:val="0"/>
                    <w:spacing w:line="240" w:lineRule="atLeast"/>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及 2018 年修改单中二级标准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5" w:type="dxa"/>
                  <w:tcBorders>
                    <w:tl2br w:val="nil"/>
                    <w:tr2bl w:val="nil"/>
                  </w:tcBorders>
                  <w:noWrap w:val="0"/>
                  <w:vAlign w:val="center"/>
                </w:tcPr>
                <w:p>
                  <w:pPr>
                    <w:adjustRightInd w:val="0"/>
                    <w:snapToGrid w:val="0"/>
                    <w:spacing w:line="240" w:lineRule="atLeas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1449"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color w:val="auto"/>
                      <w:sz w:val="21"/>
                      <w:szCs w:val="21"/>
                      <w:highlight w:val="none"/>
                    </w:rPr>
                  </w:pPr>
                  <w:r>
                    <w:rPr>
                      <w:rFonts w:hint="default" w:ascii="Times New Roman" w:hAnsi="Times New Roman" w:cs="Times New Roman"/>
                    </w:rPr>
                    <w:t>--</w:t>
                  </w:r>
                </w:p>
              </w:tc>
              <w:tc>
                <w:tcPr>
                  <w:tcW w:w="1432" w:type="dxa"/>
                  <w:tcBorders>
                    <w:tl2br w:val="nil"/>
                    <w:tr2bl w:val="nil"/>
                  </w:tcBorders>
                  <w:noWrap w:val="0"/>
                  <w:vAlign w:val="center"/>
                </w:tcPr>
                <w:p>
                  <w:pPr>
                    <w:adjustRightInd w:val="0"/>
                    <w:snapToGrid w:val="0"/>
                    <w:spacing w:line="240" w:lineRule="atLeast"/>
                    <w:jc w:val="center"/>
                    <w:rPr>
                      <w:rFonts w:hint="default" w:ascii="Times New Roman" w:hAnsi="Times New Roman" w:cs="Times New Roman"/>
                      <w:color w:val="auto"/>
                      <w:sz w:val="21"/>
                      <w:szCs w:val="21"/>
                      <w:highlight w:val="none"/>
                    </w:rPr>
                  </w:pPr>
                  <w:r>
                    <w:rPr>
                      <w:rFonts w:hint="default" w:ascii="Times New Roman" w:hAnsi="Times New Roman" w:cs="Times New Roman"/>
                    </w:rPr>
                    <w:t>--</w:t>
                  </w:r>
                </w:p>
              </w:tc>
              <w:tc>
                <w:tcPr>
                  <w:tcW w:w="835"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z w:val="21"/>
                      <w:szCs w:val="21"/>
                      <w:highlight w:val="none"/>
                      <w:lang w:val="zh-CN"/>
                    </w:rPr>
                  </w:pPr>
                  <w:r>
                    <w:rPr>
                      <w:rFonts w:hint="default" w:ascii="Times New Roman" w:hAnsi="Times New Roman" w:cs="Times New Roman"/>
                    </w:rPr>
                    <w:t>--</w:t>
                  </w:r>
                </w:p>
              </w:tc>
              <w:tc>
                <w:tcPr>
                  <w:tcW w:w="699"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rPr>
                    <w:t>--</w:t>
                  </w:r>
                </w:p>
              </w:tc>
              <w:tc>
                <w:tcPr>
                  <w:tcW w:w="903"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rPr>
                    <w:t>--</w:t>
                  </w:r>
                </w:p>
              </w:tc>
              <w:tc>
                <w:tcPr>
                  <w:tcW w:w="1091" w:type="dxa"/>
                  <w:tcBorders>
                    <w:tl2br w:val="nil"/>
                    <w:tr2bl w:val="nil"/>
                  </w:tcBorders>
                  <w:noWrap w:val="0"/>
                  <w:vAlign w:val="center"/>
                </w:tcPr>
                <w:p>
                  <w:pPr>
                    <w:pStyle w:val="62"/>
                    <w:adjustRightInd w:val="0"/>
                    <w:snapToGrid w:val="0"/>
                    <w:spacing w:line="240" w:lineRule="auto"/>
                    <w:ind w:firstLine="0" w:firstLineChars="0"/>
                    <w:jc w:val="center"/>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sz w:val="21"/>
                      <w:szCs w:val="21"/>
                      <w:lang w:eastAsia="zh-CN"/>
                    </w:rPr>
                    <w:t>厂界外1m</w:t>
                  </w:r>
                </w:p>
              </w:tc>
              <w:tc>
                <w:tcPr>
                  <w:tcW w:w="1749" w:type="dxa"/>
                  <w:tcBorders>
                    <w:tl2br w:val="nil"/>
                    <w:tr2bl w:val="nil"/>
                  </w:tcBorders>
                  <w:noWrap w:val="0"/>
                  <w:vAlign w:val="center"/>
                </w:tcPr>
                <w:p>
                  <w:pPr>
                    <w:adjustRightInd w:val="0"/>
                    <w:snapToGrid w:val="0"/>
                    <w:spacing w:line="240" w:lineRule="atLeast"/>
                    <w:jc w:val="center"/>
                    <w:rPr>
                      <w:rFonts w:hint="eastAsia"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声环境达到《声环境质量标准》2类</w:t>
                  </w:r>
                  <w:r>
                    <w:rPr>
                      <w:rFonts w:hint="eastAsia" w:ascii="Times New Roman" w:hAnsi="Times New Roman" w:cs="Times New Roman"/>
                      <w:sz w:val="21"/>
                      <w:szCs w:val="21"/>
                      <w:highlight w:val="none"/>
                      <w:lang w:eastAsia="zh-CN"/>
                    </w:rPr>
                    <w:t>和</w:t>
                  </w:r>
                  <w:r>
                    <w:rPr>
                      <w:rFonts w:hint="eastAsia" w:ascii="Times New Roman" w:hAnsi="Times New Roman" w:cs="Times New Roman"/>
                      <w:sz w:val="21"/>
                      <w:szCs w:val="21"/>
                      <w:highlight w:val="none"/>
                      <w:lang w:val="en-US" w:eastAsia="zh-CN"/>
                    </w:rPr>
                    <w:t>4a类</w:t>
                  </w:r>
                </w:p>
              </w:tc>
            </w:tr>
          </w:tbl>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rFonts w:hint="default" w:ascii="Times New Roman" w:hAnsi="Times New Roman" w:cs="Times New Roman"/>
                <w:sz w:val="24"/>
                <w:highlight w:val="none"/>
              </w:rPr>
            </w:pPr>
          </w:p>
          <w:p>
            <w:pPr>
              <w:spacing w:line="360" w:lineRule="auto"/>
              <w:ind w:firstLine="600" w:firstLineChars="250"/>
              <w:rPr>
                <w:sz w:val="24"/>
              </w:rPr>
            </w:pPr>
          </w:p>
        </w:tc>
      </w:tr>
    </w:tbl>
    <w:p>
      <w:pPr>
        <w:outlineLvl w:val="0"/>
        <w:rPr>
          <w:b/>
          <w:color w:val="000000"/>
          <w:sz w:val="32"/>
          <w:highlight w:val="none"/>
        </w:rPr>
      </w:pPr>
      <w:r>
        <w:rPr>
          <w:b/>
          <w:color w:val="000000"/>
          <w:sz w:val="32"/>
          <w:highlight w:val="none"/>
        </w:rPr>
        <w:br w:type="page"/>
      </w:r>
      <w:r>
        <w:rPr>
          <w:b/>
          <w:color w:val="000000"/>
          <w:sz w:val="32"/>
          <w:highlight w:val="none"/>
        </w:rPr>
        <w:t>评价适用标准</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8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9" w:hRule="atLeast"/>
          <w:jc w:val="center"/>
        </w:trPr>
        <w:tc>
          <w:tcPr>
            <w:tcW w:w="529" w:type="dxa"/>
            <w:noWrap w:val="0"/>
            <w:vAlign w:val="center"/>
          </w:tcPr>
          <w:p>
            <w:pPr>
              <w:pStyle w:val="8"/>
              <w:rPr>
                <w:rFonts w:hint="default" w:ascii="Times New Roman" w:hAnsi="Times New Roman" w:cs="Times New Roman"/>
                <w:highlight w:val="none"/>
              </w:rPr>
            </w:pPr>
            <w:r>
              <w:rPr>
                <w:rFonts w:hint="default" w:ascii="Times New Roman" w:hAnsi="Times New Roman" w:cs="Times New Roman"/>
                <w:b/>
                <w:sz w:val="24"/>
                <w:highlight w:val="none"/>
              </w:rPr>
              <w:t>环境质量标准</w:t>
            </w:r>
          </w:p>
        </w:tc>
        <w:tc>
          <w:tcPr>
            <w:tcW w:w="8757" w:type="dxa"/>
            <w:noWrap w:val="0"/>
            <w:vAlign w:val="top"/>
          </w:tcPr>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1、大气环境执行《环境空气质量标准》</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GB3095-2012</w:t>
            </w:r>
            <w:r>
              <w:rPr>
                <w:rFonts w:hint="default" w:ascii="Times New Roman" w:hAnsi="Times New Roman" w:cs="Times New Roman"/>
                <w:sz w:val="24"/>
                <w:szCs w:val="24"/>
                <w:highlight w:val="none"/>
                <w:lang w:eastAsia="zh-CN"/>
              </w:rPr>
              <w:t>）及 2018 年修改单中二级标准</w:t>
            </w:r>
            <w:r>
              <w:rPr>
                <w:rFonts w:hint="default" w:ascii="Times New Roman" w:hAnsi="Times New Roman" w:cs="Times New Roman"/>
                <w:sz w:val="24"/>
                <w:szCs w:val="24"/>
                <w:highlight w:val="none"/>
              </w:rPr>
              <w:t>要求。见表</w:t>
            </w:r>
            <w:r>
              <w:rPr>
                <w:rFonts w:hint="default"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18" w:firstLineChars="200"/>
              <w:jc w:val="center"/>
              <w:textAlignment w:val="auto"/>
              <w:outlineLvl w:val="9"/>
              <w:rPr>
                <w:rFonts w:hint="default" w:ascii="Times New Roman" w:hAnsi="Times New Roman" w:cs="Times New Roman"/>
                <w:b/>
                <w:spacing w:val="9"/>
                <w:sz w:val="24"/>
                <w:highlight w:val="none"/>
              </w:rPr>
            </w:pPr>
            <w:r>
              <w:rPr>
                <w:rFonts w:hint="default" w:ascii="Times New Roman" w:hAnsi="Times New Roman" w:cs="Times New Roman"/>
                <w:b/>
                <w:spacing w:val="9"/>
                <w:sz w:val="24"/>
                <w:highlight w:val="none"/>
              </w:rPr>
              <w:t>表</w:t>
            </w:r>
            <w:r>
              <w:rPr>
                <w:rFonts w:hint="default" w:ascii="Times New Roman" w:hAnsi="Times New Roman" w:cs="Times New Roman"/>
                <w:b/>
                <w:spacing w:val="9"/>
                <w:sz w:val="24"/>
                <w:highlight w:val="none"/>
                <w:lang w:val="en-US" w:eastAsia="zh-CN"/>
              </w:rPr>
              <w:t>7</w:t>
            </w:r>
            <w:r>
              <w:rPr>
                <w:rFonts w:hint="default" w:ascii="Times New Roman" w:hAnsi="Times New Roman" w:cs="Times New Roman"/>
                <w:b/>
                <w:spacing w:val="9"/>
                <w:sz w:val="24"/>
                <w:highlight w:val="none"/>
              </w:rPr>
              <w:t xml:space="preserve">  环境空气质量标准</w:t>
            </w:r>
          </w:p>
          <w:tbl>
            <w:tblPr>
              <w:tblStyle w:val="37"/>
              <w:tblW w:w="854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566"/>
              <w:gridCol w:w="1492"/>
              <w:gridCol w:w="1056"/>
              <w:gridCol w:w="26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cantSplit/>
                <w:trHeight w:val="91" w:hRule="atLeast"/>
                <w:tblHeader/>
              </w:trPr>
              <w:tc>
                <w:tcPr>
                  <w:tcW w:w="1786"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污染物</w:t>
                  </w:r>
                </w:p>
              </w:tc>
              <w:tc>
                <w:tcPr>
                  <w:tcW w:w="1566"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平均时间</w:t>
                  </w:r>
                </w:p>
              </w:tc>
              <w:tc>
                <w:tcPr>
                  <w:tcW w:w="149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二级浓度限值</w:t>
                  </w:r>
                </w:p>
              </w:tc>
              <w:tc>
                <w:tcPr>
                  <w:tcW w:w="1056" w:type="dxa"/>
                  <w:noWrap w:val="0"/>
                  <w:vAlign w:val="top"/>
                </w:tcPr>
                <w:p>
                  <w:pPr>
                    <w:jc w:val="center"/>
                    <w:rPr>
                      <w:rFonts w:hint="default" w:ascii="Times New Roman" w:hAnsi="Times New Roman" w:cs="Times New Roman"/>
                      <w:highlight w:val="none"/>
                    </w:rPr>
                  </w:pPr>
                  <w:r>
                    <w:rPr>
                      <w:rFonts w:hint="default" w:ascii="Times New Roman" w:hAnsi="Times New Roman" w:cs="Times New Roman"/>
                      <w:highlight w:val="none"/>
                    </w:rPr>
                    <w:t>单位</w:t>
                  </w:r>
                </w:p>
              </w:tc>
              <w:tc>
                <w:tcPr>
                  <w:tcW w:w="2641"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二氧化硫</w:t>
                  </w: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年平均</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60</w:t>
                  </w:r>
                </w:p>
              </w:tc>
              <w:tc>
                <w:tcPr>
                  <w:tcW w:w="1056"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µg/m</w:t>
                  </w:r>
                  <w:r>
                    <w:rPr>
                      <w:rFonts w:hint="default" w:ascii="Times New Roman" w:hAnsi="Times New Roman" w:cs="Times New Roman"/>
                      <w:highlight w:val="none"/>
                      <w:vertAlign w:val="superscript"/>
                    </w:rPr>
                    <w:t>3</w:t>
                  </w:r>
                </w:p>
              </w:tc>
              <w:tc>
                <w:tcPr>
                  <w:tcW w:w="2641"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《环境空气质量标准》（GB3095-2012）</w:t>
                  </w:r>
                  <w:r>
                    <w:rPr>
                      <w:rFonts w:hint="default" w:ascii="Times New Roman" w:hAnsi="Times New Roman" w:cs="Times New Roman"/>
                      <w:sz w:val="21"/>
                      <w:szCs w:val="21"/>
                      <w:highlight w:val="none"/>
                    </w:rPr>
                    <w:t>及 2018 年修改单中二级标准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24小时均值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150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500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restart"/>
                  <w:noWrap w:val="0"/>
                  <w:vAlign w:val="center"/>
                </w:tcPr>
                <w:p>
                  <w:pPr>
                    <w:ind w:right="-23" w:rightChars="-11" w:hanging="44"/>
                    <w:jc w:val="center"/>
                    <w:rPr>
                      <w:rFonts w:hint="default" w:ascii="Times New Roman" w:hAnsi="Times New Roman" w:cs="Times New Roman"/>
                      <w:highlight w:val="none"/>
                    </w:rPr>
                  </w:pPr>
                  <w:r>
                    <w:rPr>
                      <w:rFonts w:hint="default" w:ascii="Times New Roman" w:hAnsi="Times New Roman" w:cs="Times New Roman"/>
                      <w:highlight w:val="none"/>
                    </w:rPr>
                    <w:t>可吸入颗粒物（PM</w:t>
                  </w:r>
                  <w:r>
                    <w:rPr>
                      <w:rFonts w:hint="default" w:ascii="Times New Roman" w:hAnsi="Times New Roman" w:cs="Times New Roman"/>
                      <w:highlight w:val="none"/>
                      <w:vertAlign w:val="subscript"/>
                    </w:rPr>
                    <w:t>10</w:t>
                  </w:r>
                  <w:r>
                    <w:rPr>
                      <w:rFonts w:hint="default" w:ascii="Times New Roman" w:hAnsi="Times New Roman" w:cs="Times New Roman"/>
                      <w:highlight w:val="none"/>
                    </w:rPr>
                    <w:t>）</w:t>
                  </w: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年平均</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70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24小时均值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150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restart"/>
                  <w:noWrap w:val="0"/>
                  <w:vAlign w:val="center"/>
                </w:tcPr>
                <w:p>
                  <w:pPr>
                    <w:jc w:val="center"/>
                    <w:rPr>
                      <w:rFonts w:hint="default" w:ascii="Times New Roman" w:hAnsi="Times New Roman" w:cs="Times New Roman"/>
                      <w:highlight w:val="none"/>
                    </w:rPr>
                  </w:pPr>
                </w:p>
                <w:p>
                  <w:pPr>
                    <w:jc w:val="center"/>
                    <w:rPr>
                      <w:rFonts w:hint="default" w:ascii="Times New Roman" w:hAnsi="Times New Roman" w:cs="Times New Roman"/>
                      <w:highlight w:val="none"/>
                    </w:rPr>
                  </w:pPr>
                  <w:r>
                    <w:rPr>
                      <w:rFonts w:hint="default" w:ascii="Times New Roman" w:hAnsi="Times New Roman" w:cs="Times New Roman"/>
                      <w:highlight w:val="none"/>
                    </w:rPr>
                    <w:t>二氧化氮</w:t>
                  </w:r>
                </w:p>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年平均</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40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24小时均值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80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200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noWrap w:val="0"/>
                  <w:vAlign w:val="center"/>
                </w:tcPr>
                <w:p>
                  <w:pPr>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臭氧</w:t>
                  </w: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1小时均值</w:t>
                  </w:r>
                </w:p>
              </w:tc>
              <w:tc>
                <w:tcPr>
                  <w:tcW w:w="1492"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200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一氧化碳</w:t>
                  </w:r>
                </w:p>
              </w:tc>
              <w:tc>
                <w:tcPr>
                  <w:tcW w:w="1566" w:type="dxa"/>
                  <w:noWrap w:val="0"/>
                  <w:vAlign w:val="center"/>
                </w:tcPr>
                <w:p>
                  <w:pPr>
                    <w:snapToGrid w:val="0"/>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24小时均值</w:t>
                  </w:r>
                </w:p>
              </w:tc>
              <w:tc>
                <w:tcPr>
                  <w:tcW w:w="1492" w:type="dxa"/>
                  <w:noWrap w:val="0"/>
                  <w:vAlign w:val="center"/>
                </w:tcPr>
                <w:p>
                  <w:pPr>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4</w:t>
                  </w:r>
                </w:p>
              </w:tc>
              <w:tc>
                <w:tcPr>
                  <w:tcW w:w="1056"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mg/m</w:t>
                  </w:r>
                  <w:r>
                    <w:rPr>
                      <w:rFonts w:hint="default" w:ascii="Times New Roman" w:hAnsi="Times New Roman" w:cs="Times New Roman"/>
                      <w:highlight w:val="none"/>
                      <w:vertAlign w:val="superscript"/>
                    </w:rPr>
                    <w:t>3</w:t>
                  </w:r>
                </w:p>
              </w:tc>
              <w:tc>
                <w:tcPr>
                  <w:tcW w:w="2641"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786" w:type="dxa"/>
                  <w:vMerge w:val="continue"/>
                  <w:noWrap w:val="0"/>
                  <w:vAlign w:val="center"/>
                </w:tcPr>
                <w:p>
                  <w:pPr>
                    <w:jc w:val="center"/>
                    <w:rPr>
                      <w:rFonts w:hint="default" w:ascii="Times New Roman" w:hAnsi="Times New Roman" w:cs="Times New Roman"/>
                      <w:highlight w:val="none"/>
                    </w:rPr>
                  </w:pPr>
                </w:p>
              </w:tc>
              <w:tc>
                <w:tcPr>
                  <w:tcW w:w="1566" w:type="dxa"/>
                  <w:noWrap w:val="0"/>
                  <w:vAlign w:val="center"/>
                </w:tcPr>
                <w:p>
                  <w:pPr>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1小时均值</w:t>
                  </w:r>
                </w:p>
              </w:tc>
              <w:tc>
                <w:tcPr>
                  <w:tcW w:w="1492" w:type="dxa"/>
                  <w:noWrap w:val="0"/>
                  <w:vAlign w:val="center"/>
                </w:tcPr>
                <w:p>
                  <w:pPr>
                    <w:spacing w:line="240" w:lineRule="atLeast"/>
                    <w:jc w:val="center"/>
                    <w:rPr>
                      <w:rFonts w:hint="default" w:ascii="Times New Roman" w:hAnsi="Times New Roman" w:cs="Times New Roman"/>
                      <w:highlight w:val="none"/>
                    </w:rPr>
                  </w:pPr>
                  <w:r>
                    <w:rPr>
                      <w:rFonts w:hint="default" w:ascii="Times New Roman" w:hAnsi="Times New Roman" w:cs="Times New Roman"/>
                      <w:highlight w:val="none"/>
                    </w:rPr>
                    <w:t>10</w:t>
                  </w:r>
                </w:p>
              </w:tc>
              <w:tc>
                <w:tcPr>
                  <w:tcW w:w="1056" w:type="dxa"/>
                  <w:vMerge w:val="continue"/>
                  <w:noWrap w:val="0"/>
                  <w:vAlign w:val="top"/>
                </w:tcPr>
                <w:p>
                  <w:pPr>
                    <w:jc w:val="center"/>
                    <w:rPr>
                      <w:rFonts w:hint="default" w:ascii="Times New Roman" w:hAnsi="Times New Roman" w:cs="Times New Roman"/>
                      <w:highlight w:val="none"/>
                    </w:rPr>
                  </w:pPr>
                </w:p>
              </w:tc>
              <w:tc>
                <w:tcPr>
                  <w:tcW w:w="2641" w:type="dxa"/>
                  <w:vMerge w:val="continue"/>
                  <w:noWrap w:val="0"/>
                  <w:vAlign w:val="center"/>
                </w:tcPr>
                <w:p>
                  <w:pPr>
                    <w:jc w:val="center"/>
                    <w:rPr>
                      <w:rFonts w:hint="default" w:ascii="Times New Roman" w:hAnsi="Times New Roman" w:cs="Times New Roman"/>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sz w:val="24"/>
                <w:szCs w:val="24"/>
                <w:highlight w:val="none"/>
              </w:rPr>
            </w:pPr>
            <w:r>
              <w:rPr>
                <w:rFonts w:hint="default" w:ascii="Times New Roman" w:hAnsi="Times New Roman" w:cs="Times New Roman"/>
                <w:highlight w:val="none"/>
              </w:rPr>
              <w:t xml:space="preserve">   </w:t>
            </w:r>
            <w:r>
              <w:rPr>
                <w:rFonts w:hint="default" w:ascii="Times New Roman" w:hAnsi="Times New Roman" w:cs="Times New Roman"/>
                <w:sz w:val="24"/>
                <w:szCs w:val="24"/>
                <w:highlight w:val="none"/>
              </w:rPr>
              <w:t xml:space="preserve"> 2、区域地下水质量执行《地下水质量标准》</w:t>
            </w:r>
            <w:r>
              <w:rPr>
                <w:rFonts w:hint="default" w:ascii="Times New Roman" w:hAnsi="Times New Roman" w:cs="Times New Roman"/>
                <w:sz w:val="24"/>
                <w:szCs w:val="24"/>
                <w:highlight w:val="none"/>
                <w:lang w:eastAsia="zh-CN"/>
              </w:rPr>
              <w:t>（GB/T14848-2017）</w:t>
            </w:r>
            <w:r>
              <w:rPr>
                <w:rFonts w:hint="default" w:ascii="Times New Roman" w:hAnsi="Times New Roman" w:cs="Times New Roman"/>
                <w:sz w:val="24"/>
                <w:szCs w:val="24"/>
                <w:highlight w:val="none"/>
              </w:rPr>
              <w:t xml:space="preserve"> Ⅲ类标准。见表</w:t>
            </w:r>
            <w:r>
              <w:rPr>
                <w:rFonts w:hint="default" w:ascii="Times New Roman" w:hAnsi="Times New Roman" w:cs="Times New Roman"/>
                <w:sz w:val="24"/>
                <w:szCs w:val="24"/>
                <w:highlight w:val="none"/>
                <w:lang w:val="en-US" w:eastAsia="zh-CN"/>
              </w:rPr>
              <w:t>8</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210" w:firstLineChars="10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 xml:space="preserve">      </w:t>
            </w:r>
            <w:r>
              <w:rPr>
                <w:rFonts w:hint="default" w:ascii="Times New Roman" w:hAnsi="Times New Roman" w:cs="Times New Roman"/>
                <w:b/>
                <w:spacing w:val="9"/>
                <w:sz w:val="24"/>
                <w:highlight w:val="none"/>
              </w:rPr>
              <w:t>表</w:t>
            </w:r>
            <w:r>
              <w:rPr>
                <w:rFonts w:hint="default" w:ascii="Times New Roman" w:hAnsi="Times New Roman" w:cs="Times New Roman"/>
                <w:b/>
                <w:spacing w:val="9"/>
                <w:sz w:val="24"/>
                <w:highlight w:val="none"/>
                <w:lang w:val="en-US" w:eastAsia="zh-CN"/>
              </w:rPr>
              <w:t>8</w:t>
            </w:r>
            <w:r>
              <w:rPr>
                <w:rFonts w:hint="default" w:ascii="Times New Roman" w:hAnsi="Times New Roman" w:cs="Times New Roman"/>
                <w:b/>
                <w:spacing w:val="9"/>
                <w:sz w:val="24"/>
                <w:highlight w:val="none"/>
              </w:rPr>
              <w:t xml:space="preserve">  地下水质量标准   单位：mg/L    </w:t>
            </w:r>
          </w:p>
          <w:tbl>
            <w:tblPr>
              <w:tblStyle w:val="37"/>
              <w:tblW w:w="854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515"/>
              <w:gridCol w:w="990"/>
              <w:gridCol w:w="1485"/>
              <w:gridCol w:w="1125"/>
              <w:gridCol w:w="1305"/>
              <w:gridCol w:w="10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19"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项目</w:t>
                  </w:r>
                </w:p>
              </w:tc>
              <w:tc>
                <w:tcPr>
                  <w:tcW w:w="151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lang w:val="en-US" w:eastAsia="zh-CN"/>
                    </w:rPr>
                    <w:t>耗氧量</w:t>
                  </w:r>
                </w:p>
              </w:tc>
              <w:tc>
                <w:tcPr>
                  <w:tcW w:w="990"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总硬度</w:t>
                  </w:r>
                </w:p>
              </w:tc>
              <w:tc>
                <w:tcPr>
                  <w:tcW w:w="148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溶解性总固体</w:t>
                  </w:r>
                </w:p>
              </w:tc>
              <w:tc>
                <w:tcPr>
                  <w:tcW w:w="112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硝酸盐氮</w:t>
                  </w:r>
                </w:p>
              </w:tc>
              <w:tc>
                <w:tcPr>
                  <w:tcW w:w="130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亚硝酸盐氮</w:t>
                  </w:r>
                </w:p>
              </w:tc>
              <w:tc>
                <w:tcPr>
                  <w:tcW w:w="100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19"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标准值</w:t>
                  </w:r>
                </w:p>
              </w:tc>
              <w:tc>
                <w:tcPr>
                  <w:tcW w:w="151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≤3.0</w:t>
                  </w:r>
                </w:p>
              </w:tc>
              <w:tc>
                <w:tcPr>
                  <w:tcW w:w="990"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≤450</w:t>
                  </w:r>
                </w:p>
              </w:tc>
              <w:tc>
                <w:tcPr>
                  <w:tcW w:w="1485" w:type="dxa"/>
                  <w:noWrap w:val="0"/>
                  <w:vAlign w:val="center"/>
                </w:tcPr>
                <w:p>
                  <w:pPr>
                    <w:pStyle w:val="21"/>
                    <w:widowControl/>
                    <w:pBdr>
                      <w:bottom w:val="none" w:color="auto" w:sz="0" w:space="0"/>
                    </w:pBdr>
                    <w:tabs>
                      <w:tab w:val="clear" w:pos="4153"/>
                      <w:tab w:val="clear" w:pos="8306"/>
                    </w:tabs>
                    <w:rPr>
                      <w:rFonts w:hint="default" w:ascii="Times New Roman" w:hAnsi="Times New Roman" w:cs="Times New Roman"/>
                      <w:highlight w:val="none"/>
                    </w:rPr>
                  </w:pPr>
                  <w:r>
                    <w:rPr>
                      <w:rFonts w:hint="default" w:ascii="Times New Roman" w:hAnsi="Times New Roman" w:cs="Times New Roman"/>
                      <w:highlight w:val="none"/>
                    </w:rPr>
                    <w:t>≤1000</w:t>
                  </w:r>
                </w:p>
              </w:tc>
              <w:tc>
                <w:tcPr>
                  <w:tcW w:w="1125"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≤20</w:t>
                  </w:r>
                </w:p>
              </w:tc>
              <w:tc>
                <w:tcPr>
                  <w:tcW w:w="1305" w:type="dxa"/>
                  <w:noWrap w:val="0"/>
                  <w:vAlign w:val="center"/>
                </w:tcPr>
                <w:p>
                  <w:pPr>
                    <w:jc w:val="center"/>
                    <w:rPr>
                      <w:rFonts w:hint="default" w:ascii="Times New Roman" w:hAnsi="Times New Roman" w:cs="Times New Roman"/>
                      <w:highlight w:val="none"/>
                      <w:lang w:eastAsia="zh-C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1</w:t>
                  </w:r>
                </w:p>
              </w:tc>
              <w:tc>
                <w:tcPr>
                  <w:tcW w:w="1002" w:type="dxa"/>
                  <w:noWrap w:val="0"/>
                  <w:vAlign w:val="center"/>
                </w:tcPr>
                <w:p>
                  <w:pPr>
                    <w:jc w:val="center"/>
                    <w:rPr>
                      <w:rFonts w:hint="default" w:ascii="Times New Roman" w:hAnsi="Times New Roman" w:cs="Times New Roman"/>
                      <w:highlight w:val="none"/>
                      <w:lang w:eastAsia="zh-CN"/>
                    </w:rPr>
                  </w:pPr>
                  <w:r>
                    <w:rPr>
                      <w:rFonts w:hint="default" w:ascii="Times New Roman" w:hAnsi="Times New Roman" w:cs="Times New Roman"/>
                      <w:highlight w:val="none"/>
                    </w:rPr>
                    <w:t>≤0.</w:t>
                  </w:r>
                  <w:r>
                    <w:rPr>
                      <w:rFonts w:hint="default" w:ascii="Times New Roman" w:hAnsi="Times New Roman" w:cs="Times New Roman"/>
                      <w:highlight w:val="none"/>
                      <w:lang w:val="en-US" w:eastAsia="zh-CN"/>
                    </w:rPr>
                    <w:t>5</w:t>
                  </w:r>
                </w:p>
              </w:tc>
            </w:tr>
          </w:tbl>
          <w:p>
            <w:pPr>
              <w:adjustRightInd w:val="0"/>
              <w:snapToGrid w:val="0"/>
              <w:ind w:firstLine="420" w:firstLineChars="200"/>
              <w:rPr>
                <w:rFonts w:hint="default" w:ascii="Times New Roman" w:hAnsi="Times New Roman" w:cs="Times New Roman"/>
                <w:highlight w:val="none"/>
              </w:rPr>
            </w:pPr>
          </w:p>
          <w:p>
            <w:pPr>
              <w:numPr>
                <w:ilvl w:val="0"/>
                <w:numId w:val="4"/>
              </w:numPr>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color w:val="000000"/>
                <w:sz w:val="24"/>
              </w:rPr>
              <w:t>本项目厂界</w:t>
            </w:r>
            <w:r>
              <w:rPr>
                <w:rFonts w:hint="default" w:ascii="Times New Roman" w:hAnsi="Times New Roman" w:cs="Times New Roman"/>
                <w:color w:val="000000"/>
                <w:sz w:val="24"/>
                <w:lang w:eastAsia="zh-CN"/>
              </w:rPr>
              <w:t>东</w:t>
            </w:r>
            <w:r>
              <w:rPr>
                <w:rFonts w:hint="default" w:ascii="Times New Roman" w:hAnsi="Times New Roman" w:cs="Times New Roman"/>
                <w:color w:val="000000"/>
                <w:sz w:val="24"/>
              </w:rPr>
              <w:t>、</w:t>
            </w:r>
            <w:r>
              <w:rPr>
                <w:rFonts w:hint="default" w:ascii="Times New Roman" w:hAnsi="Times New Roman" w:cs="Times New Roman"/>
                <w:color w:val="000000"/>
                <w:sz w:val="24"/>
                <w:lang w:eastAsia="zh-CN"/>
              </w:rPr>
              <w:t>南、北</w:t>
            </w:r>
            <w:r>
              <w:rPr>
                <w:rFonts w:hint="default" w:ascii="Times New Roman" w:hAnsi="Times New Roman" w:cs="Times New Roman"/>
                <w:color w:val="000000"/>
                <w:sz w:val="24"/>
              </w:rPr>
              <w:t>侧噪声排放执行</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声环境质量标准</w:t>
            </w:r>
            <w:r>
              <w:rPr>
                <w:rFonts w:hint="default" w:ascii="Times New Roman" w:hAnsi="Times New Roman" w:cs="Times New Roman"/>
                <w:bCs/>
                <w:sz w:val="24"/>
                <w:lang w:eastAsia="zh-CN"/>
              </w:rPr>
              <w:t>》</w:t>
            </w:r>
            <w:r>
              <w:rPr>
                <w:rFonts w:hint="default" w:ascii="Times New Roman" w:hAnsi="Times New Roman" w:cs="Times New Roman"/>
                <w:bCs/>
                <w:sz w:val="24"/>
              </w:rPr>
              <w:t>（GB3096-2008）表1中的2类标准</w:t>
            </w:r>
            <w:r>
              <w:rPr>
                <w:rFonts w:hint="default" w:ascii="Times New Roman" w:hAnsi="Times New Roman" w:cs="Times New Roman"/>
                <w:color w:val="000000"/>
                <w:sz w:val="24"/>
                <w:highlight w:val="none"/>
              </w:rPr>
              <w:t>，厂界</w:t>
            </w:r>
            <w:r>
              <w:rPr>
                <w:rFonts w:hint="default" w:ascii="Times New Roman" w:hAnsi="Times New Roman" w:cs="Times New Roman"/>
                <w:color w:val="000000"/>
                <w:sz w:val="24"/>
                <w:highlight w:val="none"/>
                <w:lang w:eastAsia="zh-CN"/>
              </w:rPr>
              <w:t>西</w:t>
            </w:r>
            <w:r>
              <w:rPr>
                <w:rFonts w:hint="default" w:ascii="Times New Roman" w:hAnsi="Times New Roman" w:cs="Times New Roman"/>
                <w:color w:val="000000"/>
                <w:sz w:val="24"/>
                <w:highlight w:val="none"/>
              </w:rPr>
              <w:t>侧噪声排放执行</w:t>
            </w:r>
            <w:r>
              <w:rPr>
                <w:rFonts w:hint="default" w:ascii="Times New Roman" w:hAnsi="Times New Roman" w:cs="Times New Roman"/>
                <w:bCs/>
                <w:sz w:val="24"/>
              </w:rPr>
              <w:t>《声环境质量标准》（GB3096-2008）表1中的4a类标准</w:t>
            </w:r>
            <w:r>
              <w:rPr>
                <w:rFonts w:hint="default" w:ascii="Times New Roman" w:hAnsi="Times New Roman" w:cs="Times New Roman"/>
                <w:sz w:val="24"/>
                <w:szCs w:val="24"/>
                <w:highlight w:val="none"/>
              </w:rPr>
              <w:t>。见表</w:t>
            </w:r>
            <w:r>
              <w:rPr>
                <w:rFonts w:hint="default" w:ascii="Times New Roman" w:hAnsi="Times New Roman" w:cs="Times New Roman"/>
                <w:sz w:val="24"/>
                <w:szCs w:val="24"/>
                <w:highlight w:val="none"/>
                <w:lang w:val="en-US" w:eastAsia="zh-CN"/>
              </w:rPr>
              <w:t>9</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259" w:firstLineChars="100"/>
              <w:jc w:val="center"/>
              <w:textAlignment w:val="auto"/>
              <w:outlineLvl w:val="9"/>
              <w:rPr>
                <w:rFonts w:hint="default" w:ascii="Times New Roman" w:hAnsi="Times New Roman" w:eastAsia="宋体" w:cs="Times New Roman"/>
                <w:b/>
                <w:spacing w:val="9"/>
                <w:sz w:val="24"/>
                <w:highlight w:val="none"/>
                <w:lang w:eastAsia="zh-CN"/>
              </w:rPr>
            </w:pPr>
            <w:r>
              <w:rPr>
                <w:rFonts w:hint="default" w:ascii="Times New Roman" w:hAnsi="Times New Roman" w:cs="Times New Roman"/>
                <w:b/>
                <w:spacing w:val="9"/>
                <w:sz w:val="24"/>
                <w:highlight w:val="none"/>
              </w:rPr>
              <w:t>表</w:t>
            </w:r>
            <w:r>
              <w:rPr>
                <w:rFonts w:hint="default" w:ascii="Times New Roman" w:hAnsi="Times New Roman" w:cs="Times New Roman"/>
                <w:b/>
                <w:spacing w:val="9"/>
                <w:sz w:val="24"/>
                <w:highlight w:val="none"/>
                <w:lang w:val="en-US" w:eastAsia="zh-CN"/>
              </w:rPr>
              <w:t>9</w:t>
            </w:r>
            <w:r>
              <w:rPr>
                <w:rFonts w:hint="default" w:ascii="Times New Roman" w:hAnsi="Times New Roman" w:cs="Times New Roman"/>
                <w:b/>
                <w:spacing w:val="9"/>
                <w:sz w:val="24"/>
                <w:highlight w:val="none"/>
              </w:rPr>
              <w:t xml:space="preserve">   声环境质量标准       单位：dB</w:t>
            </w:r>
            <w:r>
              <w:rPr>
                <w:rFonts w:hint="default" w:ascii="Times New Roman" w:hAnsi="Times New Roman" w:cs="Times New Roman"/>
                <w:b/>
                <w:spacing w:val="9"/>
                <w:sz w:val="24"/>
                <w:highlight w:val="none"/>
                <w:lang w:eastAsia="zh-CN"/>
              </w:rPr>
              <w:t>（</w:t>
            </w:r>
            <w:r>
              <w:rPr>
                <w:rFonts w:hint="default" w:ascii="Times New Roman" w:hAnsi="Times New Roman" w:cs="Times New Roman"/>
                <w:b/>
                <w:spacing w:val="9"/>
                <w:sz w:val="24"/>
                <w:highlight w:val="none"/>
              </w:rPr>
              <w:t>A</w:t>
            </w:r>
            <w:r>
              <w:rPr>
                <w:rFonts w:hint="default" w:ascii="Times New Roman" w:hAnsi="Times New Roman" w:cs="Times New Roman"/>
                <w:b/>
                <w:spacing w:val="9"/>
                <w:sz w:val="24"/>
                <w:highlight w:val="none"/>
                <w:lang w:eastAsia="zh-CN"/>
              </w:rPr>
              <w:t>）</w:t>
            </w:r>
          </w:p>
          <w:tbl>
            <w:tblPr>
              <w:tblStyle w:val="37"/>
              <w:tblW w:w="854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822"/>
              <w:gridCol w:w="1933"/>
              <w:gridCol w:w="30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784" w:type="dxa"/>
                  <w:noWrap w:val="0"/>
                  <w:vAlign w:val="center"/>
                </w:tcPr>
                <w:p>
                  <w:pPr>
                    <w:pStyle w:val="23"/>
                    <w:tabs>
                      <w:tab w:val="clear" w:pos="426"/>
                    </w:tabs>
                    <w:rPr>
                      <w:rFonts w:hint="default" w:ascii="Times New Roman" w:hAnsi="Times New Roman" w:cs="Times New Roman"/>
                      <w:snapToGrid/>
                      <w:kern w:val="2"/>
                      <w:sz w:val="21"/>
                      <w:szCs w:val="24"/>
                      <w:highlight w:val="none"/>
                      <w:lang w:val="en-US" w:eastAsia="zh-CN" w:bidi="ar-SA"/>
                    </w:rPr>
                  </w:pPr>
                  <w:r>
                    <w:rPr>
                      <w:rFonts w:hint="default" w:ascii="Times New Roman" w:hAnsi="Times New Roman" w:cs="Times New Roman"/>
                      <w:snapToGrid/>
                      <w:kern w:val="2"/>
                      <w:sz w:val="21"/>
                      <w:szCs w:val="24"/>
                      <w:highlight w:val="none"/>
                      <w:lang w:val="en-US" w:eastAsia="zh-CN" w:bidi="ar-SA"/>
                    </w:rPr>
                    <w:t>环境要素</w:t>
                  </w:r>
                </w:p>
              </w:tc>
              <w:tc>
                <w:tcPr>
                  <w:tcW w:w="1822" w:type="dxa"/>
                  <w:noWrap w:val="0"/>
                  <w:vAlign w:val="center"/>
                </w:tcPr>
                <w:p>
                  <w:pPr>
                    <w:pStyle w:val="23"/>
                    <w:tabs>
                      <w:tab w:val="clear" w:pos="426"/>
                    </w:tabs>
                    <w:rPr>
                      <w:rFonts w:hint="default" w:ascii="Times New Roman" w:hAnsi="Times New Roman" w:cs="Times New Roman"/>
                      <w:snapToGrid/>
                      <w:kern w:val="2"/>
                      <w:sz w:val="21"/>
                      <w:szCs w:val="24"/>
                      <w:highlight w:val="none"/>
                      <w:lang w:val="en-US" w:eastAsia="zh-CN" w:bidi="ar-SA"/>
                    </w:rPr>
                  </w:pPr>
                  <w:r>
                    <w:rPr>
                      <w:rFonts w:hint="default" w:ascii="Times New Roman" w:hAnsi="Times New Roman" w:cs="Times New Roman"/>
                      <w:snapToGrid/>
                      <w:kern w:val="2"/>
                      <w:sz w:val="21"/>
                      <w:szCs w:val="24"/>
                      <w:highlight w:val="none"/>
                      <w:lang w:val="en-US" w:eastAsia="zh-CN" w:bidi="ar-SA"/>
                    </w:rPr>
                    <w:t>项目</w:t>
                  </w:r>
                </w:p>
              </w:tc>
              <w:tc>
                <w:tcPr>
                  <w:tcW w:w="1933" w:type="dxa"/>
                  <w:noWrap w:val="0"/>
                  <w:vAlign w:val="center"/>
                </w:tcPr>
                <w:p>
                  <w:pPr>
                    <w:pStyle w:val="23"/>
                    <w:tabs>
                      <w:tab w:val="clear" w:pos="426"/>
                    </w:tabs>
                    <w:rPr>
                      <w:rFonts w:hint="default" w:ascii="Times New Roman" w:hAnsi="Times New Roman" w:cs="Times New Roman"/>
                      <w:snapToGrid/>
                      <w:kern w:val="2"/>
                      <w:sz w:val="21"/>
                      <w:szCs w:val="24"/>
                      <w:highlight w:val="none"/>
                      <w:lang w:val="en-US" w:eastAsia="zh-CN" w:bidi="ar-SA"/>
                    </w:rPr>
                  </w:pPr>
                  <w:r>
                    <w:rPr>
                      <w:rFonts w:hint="default" w:ascii="Times New Roman" w:hAnsi="Times New Roman" w:cs="Times New Roman"/>
                      <w:snapToGrid/>
                      <w:kern w:val="2"/>
                      <w:sz w:val="21"/>
                      <w:szCs w:val="24"/>
                      <w:highlight w:val="none"/>
                      <w:lang w:val="en-US" w:eastAsia="zh-CN" w:bidi="ar-SA"/>
                    </w:rPr>
                    <w:t>标  准</w:t>
                  </w:r>
                </w:p>
              </w:tc>
              <w:tc>
                <w:tcPr>
                  <w:tcW w:w="3002" w:type="dxa"/>
                  <w:noWrap w:val="0"/>
                  <w:vAlign w:val="center"/>
                </w:tcPr>
                <w:p>
                  <w:pPr>
                    <w:pStyle w:val="23"/>
                    <w:tabs>
                      <w:tab w:val="clear" w:pos="426"/>
                    </w:tabs>
                    <w:rPr>
                      <w:rFonts w:hint="default" w:ascii="Times New Roman" w:hAnsi="Times New Roman" w:cs="Times New Roman"/>
                      <w:snapToGrid/>
                      <w:kern w:val="2"/>
                      <w:sz w:val="21"/>
                      <w:szCs w:val="24"/>
                      <w:highlight w:val="none"/>
                      <w:lang w:val="en-US" w:eastAsia="zh-CN" w:bidi="ar-SA"/>
                    </w:rPr>
                  </w:pPr>
                  <w:r>
                    <w:rPr>
                      <w:rFonts w:hint="default" w:ascii="Times New Roman" w:hAnsi="Times New Roman" w:cs="Times New Roman"/>
                      <w:snapToGrid/>
                      <w:kern w:val="2"/>
                      <w:sz w:val="21"/>
                      <w:szCs w:val="24"/>
                      <w:highlight w:val="none"/>
                      <w:lang w:val="en-US" w:eastAsia="zh-CN" w:bidi="ar-SA"/>
                    </w:rPr>
                    <w:t>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84"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声 环 境</w:t>
                  </w:r>
                </w:p>
              </w:tc>
              <w:tc>
                <w:tcPr>
                  <w:tcW w:w="182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昼间</w:t>
                  </w:r>
                </w:p>
              </w:tc>
              <w:tc>
                <w:tcPr>
                  <w:tcW w:w="1933"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60</w:t>
                  </w:r>
                  <w:r>
                    <w:rPr>
                      <w:rFonts w:hint="default" w:ascii="Times New Roman" w:hAnsi="Times New Roman" w:cs="Times New Roman"/>
                      <w:bCs/>
                      <w:szCs w:val="21"/>
                      <w:highlight w:val="none"/>
                    </w:rPr>
                    <w:t>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3002"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2类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84" w:type="dxa"/>
                  <w:vMerge w:val="continue"/>
                  <w:noWrap w:val="0"/>
                  <w:vAlign w:val="center"/>
                </w:tcPr>
                <w:p>
                  <w:pPr>
                    <w:jc w:val="center"/>
                    <w:rPr>
                      <w:rFonts w:hint="default" w:ascii="Times New Roman" w:hAnsi="Times New Roman" w:cs="Times New Roman"/>
                      <w:highlight w:val="none"/>
                    </w:rPr>
                  </w:pPr>
                </w:p>
              </w:tc>
              <w:tc>
                <w:tcPr>
                  <w:tcW w:w="182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夜间</w:t>
                  </w:r>
                </w:p>
              </w:tc>
              <w:tc>
                <w:tcPr>
                  <w:tcW w:w="1933"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50</w:t>
                  </w:r>
                  <w:r>
                    <w:rPr>
                      <w:rFonts w:hint="default" w:ascii="Times New Roman" w:hAnsi="Times New Roman" w:cs="Times New Roman"/>
                      <w:bCs/>
                      <w:szCs w:val="21"/>
                      <w:highlight w:val="none"/>
                    </w:rPr>
                    <w:t>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3002" w:type="dxa"/>
                  <w:vMerge w:val="continue"/>
                  <w:noWrap w:val="0"/>
                  <w:vAlign w:val="center"/>
                </w:tcPr>
                <w:p>
                  <w:pPr>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84" w:type="dxa"/>
                  <w:vMerge w:val="continue"/>
                  <w:noWrap w:val="0"/>
                  <w:vAlign w:val="center"/>
                </w:tcPr>
                <w:p>
                  <w:pPr>
                    <w:jc w:val="center"/>
                    <w:rPr>
                      <w:rFonts w:hint="default" w:ascii="Times New Roman" w:hAnsi="Times New Roman" w:cs="Times New Roman"/>
                      <w:highlight w:val="none"/>
                    </w:rPr>
                  </w:pPr>
                </w:p>
              </w:tc>
              <w:tc>
                <w:tcPr>
                  <w:tcW w:w="182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昼间</w:t>
                  </w:r>
                </w:p>
              </w:tc>
              <w:tc>
                <w:tcPr>
                  <w:tcW w:w="1933" w:type="dxa"/>
                  <w:noWrap w:val="0"/>
                  <w:vAlign w:val="center"/>
                </w:tcPr>
                <w:p>
                  <w:pPr>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rPr>
                    <w:t>70</w:t>
                  </w:r>
                  <w:r>
                    <w:rPr>
                      <w:rFonts w:hint="default" w:ascii="Times New Roman" w:hAnsi="Times New Roman" w:cs="Times New Roman"/>
                      <w:bCs/>
                      <w:szCs w:val="21"/>
                      <w:highlight w:val="none"/>
                    </w:rPr>
                    <w:t>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3002" w:type="dxa"/>
                  <w:vMerge w:val="restart"/>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4a类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84" w:type="dxa"/>
                  <w:vMerge w:val="continue"/>
                  <w:noWrap w:val="0"/>
                  <w:vAlign w:val="center"/>
                </w:tcPr>
                <w:p>
                  <w:pPr>
                    <w:jc w:val="center"/>
                    <w:rPr>
                      <w:rFonts w:hint="default" w:ascii="Times New Roman" w:hAnsi="Times New Roman" w:cs="Times New Roman"/>
                      <w:highlight w:val="none"/>
                    </w:rPr>
                  </w:pPr>
                </w:p>
              </w:tc>
              <w:tc>
                <w:tcPr>
                  <w:tcW w:w="1822" w:type="dxa"/>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夜间</w:t>
                  </w:r>
                </w:p>
              </w:tc>
              <w:tc>
                <w:tcPr>
                  <w:tcW w:w="1933" w:type="dxa"/>
                  <w:noWrap w:val="0"/>
                  <w:vAlign w:val="center"/>
                </w:tcPr>
                <w:p>
                  <w:pPr>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rPr>
                    <w:t>55</w:t>
                  </w:r>
                  <w:r>
                    <w:rPr>
                      <w:rFonts w:hint="default" w:ascii="Times New Roman" w:hAnsi="Times New Roman" w:cs="Times New Roman"/>
                      <w:bCs/>
                      <w:szCs w:val="21"/>
                      <w:highlight w:val="none"/>
                    </w:rPr>
                    <w:t>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3002" w:type="dxa"/>
                  <w:vMerge w:val="continue"/>
                  <w:noWrap w:val="0"/>
                  <w:vAlign w:val="center"/>
                </w:tcPr>
                <w:p>
                  <w:pPr>
                    <w:jc w:val="center"/>
                    <w:rPr>
                      <w:rFonts w:hint="default" w:ascii="Times New Roman" w:hAnsi="Times New Roman" w:cs="Times New Roman"/>
                      <w:highlight w:val="none"/>
                    </w:rPr>
                  </w:pPr>
                </w:p>
              </w:tc>
            </w:tr>
          </w:tbl>
          <w:p>
            <w:pPr>
              <w:spacing w:line="360" w:lineRule="auto"/>
              <w:rPr>
                <w:rFonts w:hint="default" w:ascii="Times New Roman" w:hAnsi="Times New Roman" w:cs="Times New Roman"/>
                <w:highlight w:val="none"/>
              </w:rPr>
            </w:pPr>
          </w:p>
          <w:p>
            <w:pPr>
              <w:pStyle w:val="9"/>
              <w:rPr>
                <w:rFonts w:hint="default" w:ascii="Times New Roman" w:hAnsi="Times New Roman" w:cs="Times New Roman"/>
                <w:sz w:val="28"/>
                <w:highlight w:val="none"/>
              </w:rPr>
            </w:pPr>
          </w:p>
          <w:p>
            <w:pPr>
              <w:pStyle w:val="9"/>
              <w:ind w:left="0" w:leftChars="0" w:firstLine="0" w:firstLineChars="0"/>
              <w:rPr>
                <w:rFonts w:hint="default" w:ascii="Times New Roman" w:hAnsi="Times New Roman" w:cs="Times New Roman"/>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4" w:hRule="atLeast"/>
          <w:jc w:val="center"/>
        </w:trPr>
        <w:tc>
          <w:tcPr>
            <w:tcW w:w="529" w:type="dxa"/>
            <w:noWrap w:val="0"/>
            <w:vAlign w:val="center"/>
          </w:tcPr>
          <w:p>
            <w:pPr>
              <w:pStyle w:val="12"/>
              <w:rPr>
                <w:rFonts w:hint="default" w:ascii="Times New Roman" w:hAnsi="Times New Roman" w:cs="Times New Roman"/>
                <w:b/>
                <w:highlight w:val="none"/>
              </w:rPr>
            </w:pPr>
            <w:r>
              <w:rPr>
                <w:rFonts w:hint="default" w:ascii="Times New Roman" w:hAnsi="Times New Roman" w:cs="Times New Roman"/>
                <w:b/>
                <w:sz w:val="24"/>
                <w:szCs w:val="20"/>
                <w:highlight w:val="none"/>
              </w:rPr>
              <w:t>污染物排放标准</w:t>
            </w:r>
          </w:p>
        </w:tc>
        <w:tc>
          <w:tcPr>
            <w:tcW w:w="8757" w:type="dxa"/>
            <w:noWrap w:val="0"/>
            <w:vAlign w:val="top"/>
          </w:tcPr>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1、废气</w:t>
            </w:r>
          </w:p>
          <w:p>
            <w:pPr>
              <w:adjustRightInd w:val="0"/>
              <w:snapToGrid w:val="0"/>
              <w:spacing w:line="360" w:lineRule="auto"/>
              <w:ind w:firstLine="480" w:firstLineChars="200"/>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该项目有组织排放产生的非甲烷总烃排放浓度执行《工业企业挥发性有机物排放控制标准》（DB13/2322-2016）表1有机化工业大气污染物排放限值，非甲烷总烃排放限值80mg/m</w:t>
            </w:r>
            <w:r>
              <w:rPr>
                <w:rFonts w:hint="default" w:ascii="Times New Roman" w:hAnsi="Times New Roman" w:cs="Times New Roman"/>
                <w:sz w:val="24"/>
                <w:highlight w:val="none"/>
                <w:vertAlign w:val="superscript"/>
                <w:lang w:eastAsia="zh-CN"/>
              </w:rPr>
              <w:t>3</w:t>
            </w:r>
            <w:r>
              <w:rPr>
                <w:rFonts w:hint="default" w:ascii="Times New Roman" w:hAnsi="Times New Roman" w:cs="Times New Roman"/>
                <w:sz w:val="24"/>
                <w:highlight w:val="none"/>
                <w:lang w:eastAsia="zh-CN"/>
              </w:rPr>
              <w:t>，最低去除效率</w:t>
            </w:r>
            <w:r>
              <w:rPr>
                <w:rFonts w:hint="default" w:ascii="Times New Roman" w:hAnsi="Times New Roman" w:cs="Times New Roman"/>
                <w:sz w:val="24"/>
                <w:highlight w:val="none"/>
                <w:lang w:val="en-US" w:eastAsia="zh-CN"/>
              </w:rPr>
              <w:t>90%，若非甲烷总烃去除效率不满足要求，同时执行表3生产车间或生产设备边界大气污染物浓度限值标准</w:t>
            </w:r>
            <w:r>
              <w:rPr>
                <w:rFonts w:hint="default" w:ascii="Times New Roman" w:hAnsi="Times New Roman" w:cs="Times New Roman"/>
                <w:sz w:val="24"/>
                <w:highlight w:val="none"/>
                <w:lang w:eastAsia="zh-CN"/>
              </w:rPr>
              <w:t>。</w:t>
            </w:r>
          </w:p>
          <w:p>
            <w:pPr>
              <w:adjustRightInd w:val="0"/>
              <w:snapToGrid w:val="0"/>
              <w:spacing w:line="360" w:lineRule="auto"/>
              <w:ind w:firstLine="480" w:firstLineChars="200"/>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该项目无组织排放非甲烷总烃排放浓度执行《工业企业挥发性有机物排放控制标准》（DB13/2322-2016）表2其他行业企业边界浓度限值（非甲烷总烃：2.0mg/m</w:t>
            </w:r>
            <w:r>
              <w:rPr>
                <w:rFonts w:hint="default" w:ascii="Times New Roman" w:hAnsi="Times New Roman" w:cs="Times New Roman"/>
                <w:sz w:val="24"/>
                <w:highlight w:val="none"/>
                <w:vertAlign w:val="superscript"/>
                <w:lang w:eastAsia="zh-CN"/>
              </w:rPr>
              <w:t>3</w:t>
            </w:r>
            <w:r>
              <w:rPr>
                <w:rFonts w:hint="default" w:ascii="Times New Roman" w:hAnsi="Times New Roman" w:cs="Times New Roman"/>
                <w:sz w:val="24"/>
                <w:highlight w:val="none"/>
                <w:lang w:eastAsia="zh-CN"/>
              </w:rPr>
              <w:t>）。</w:t>
            </w:r>
          </w:p>
          <w:p>
            <w:pPr>
              <w:adjustRightInd w:val="0"/>
              <w:snapToGrid w:val="0"/>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打浆</w:t>
            </w:r>
            <w:r>
              <w:rPr>
                <w:rFonts w:hint="default" w:ascii="Times New Roman" w:hAnsi="Times New Roman" w:cs="Times New Roman"/>
                <w:sz w:val="24"/>
                <w:highlight w:val="none"/>
              </w:rPr>
              <w:t>工序产生的有组织颗粒物</w:t>
            </w:r>
            <w:r>
              <w:rPr>
                <w:rFonts w:hint="default" w:ascii="Times New Roman" w:hAnsi="Times New Roman" w:cs="Times New Roman"/>
                <w:sz w:val="24"/>
                <w:highlight w:val="none"/>
                <w:lang w:eastAsia="zh-CN"/>
              </w:rPr>
              <w:t>执行《水泥工业大气污染物排放标准》（DB2167-2015）表1中第Ⅱ时段散装水泥中转站及水泥制品生产排放标准；打浆</w:t>
            </w:r>
            <w:r>
              <w:rPr>
                <w:rFonts w:hint="default" w:ascii="Times New Roman" w:hAnsi="Times New Roman" w:cs="Times New Roman"/>
                <w:sz w:val="24"/>
                <w:highlight w:val="none"/>
              </w:rPr>
              <w:t>工序产生的</w:t>
            </w:r>
            <w:r>
              <w:rPr>
                <w:rFonts w:hint="default" w:ascii="Times New Roman" w:hAnsi="Times New Roman" w:cs="Times New Roman"/>
                <w:sz w:val="24"/>
                <w:highlight w:val="none"/>
                <w:lang w:eastAsia="zh-CN"/>
              </w:rPr>
              <w:t>无</w:t>
            </w:r>
            <w:r>
              <w:rPr>
                <w:rFonts w:hint="default" w:ascii="Times New Roman" w:hAnsi="Times New Roman" w:cs="Times New Roman"/>
                <w:sz w:val="24"/>
                <w:highlight w:val="none"/>
              </w:rPr>
              <w:t>组织颗粒物</w:t>
            </w:r>
            <w:r>
              <w:rPr>
                <w:rFonts w:hint="default" w:ascii="Times New Roman" w:hAnsi="Times New Roman" w:cs="Times New Roman"/>
                <w:sz w:val="24"/>
                <w:highlight w:val="none"/>
                <w:lang w:eastAsia="zh-CN"/>
              </w:rPr>
              <w:t>执行《水泥工业大气污染物排放标准》（DB2167-2015）表2大气污染物无组织排放监控浓度限值要求</w:t>
            </w:r>
            <w:r>
              <w:rPr>
                <w:rFonts w:hint="default" w:ascii="Times New Roman" w:hAnsi="Times New Roman" w:cs="Times New Roman"/>
                <w:sz w:val="24"/>
                <w:highlight w:val="none"/>
              </w:rPr>
              <w:t>。</w:t>
            </w:r>
          </w:p>
          <w:p>
            <w:pPr>
              <w:adjustRightInd w:val="0"/>
              <w:snapToGrid w:val="0"/>
              <w:spacing w:line="360" w:lineRule="auto"/>
              <w:ind w:firstLine="480" w:firstLineChars="200"/>
              <w:rPr>
                <w:rFonts w:hint="default" w:ascii="Times New Roman" w:hAnsi="Times New Roman" w:cs="Times New Roman"/>
                <w:sz w:val="24"/>
                <w:highlight w:val="none"/>
                <w:lang w:eastAsia="zh-CN"/>
              </w:rPr>
            </w:pPr>
            <w:r>
              <w:rPr>
                <w:rFonts w:hint="default" w:ascii="Times New Roman" w:hAnsi="Times New Roman" w:cs="Times New Roman"/>
                <w:kern w:val="0"/>
                <w:sz w:val="24"/>
              </w:rPr>
              <w:t>燃气</w:t>
            </w:r>
            <w:r>
              <w:rPr>
                <w:rFonts w:hint="default" w:ascii="Times New Roman" w:hAnsi="Times New Roman" w:cs="Times New Roman"/>
                <w:kern w:val="0"/>
                <w:sz w:val="24"/>
                <w:lang w:eastAsia="zh-CN"/>
              </w:rPr>
              <w:t>锅炉</w:t>
            </w:r>
            <w:r>
              <w:rPr>
                <w:rFonts w:hint="default" w:ascii="Times New Roman" w:hAnsi="Times New Roman" w:cs="Times New Roman"/>
                <w:kern w:val="0"/>
                <w:sz w:val="24"/>
              </w:rPr>
              <w:t>排放的颗粒物、SO</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、NOx、烟气黑度排放执行《锅炉大气污染物排放标准》（GB13271-2014）表3中大气污染物特别排放限值。</w:t>
            </w:r>
            <w:r>
              <w:rPr>
                <w:rFonts w:hint="default" w:ascii="Times New Roman" w:hAnsi="Times New Roman" w:cs="Times New Roman"/>
                <w:sz w:val="24"/>
              </w:rPr>
              <w:t>排放浓度限值标准见表1</w:t>
            </w:r>
            <w:r>
              <w:rPr>
                <w:rFonts w:hint="default" w:ascii="Times New Roman" w:hAnsi="Times New Roman" w:cs="Times New Roman"/>
                <w:sz w:val="24"/>
                <w:lang w:val="en-US" w:eastAsia="zh-CN"/>
              </w:rPr>
              <w:t>0</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cs="Times New Roman"/>
                <w:b/>
                <w:bCs/>
                <w:sz w:val="24"/>
                <w:highlight w:val="none"/>
              </w:rPr>
            </w:pPr>
            <w:r>
              <w:rPr>
                <w:rFonts w:hint="default" w:ascii="Times New Roman" w:hAnsi="Times New Roman" w:cs="Times New Roman"/>
                <w:b/>
                <w:bCs/>
                <w:sz w:val="24"/>
                <w:highlight w:val="none"/>
              </w:rPr>
              <w:t>表</w:t>
            </w:r>
            <w:r>
              <w:rPr>
                <w:rFonts w:hint="default" w:ascii="Times New Roman" w:hAnsi="Times New Roman" w:cs="Times New Roman"/>
                <w:b/>
                <w:bCs/>
                <w:sz w:val="24"/>
                <w:highlight w:val="none"/>
                <w:lang w:val="en-US" w:eastAsia="zh-CN"/>
              </w:rPr>
              <w:t xml:space="preserve">10  </w:t>
            </w:r>
            <w:r>
              <w:rPr>
                <w:rFonts w:hint="default" w:ascii="Times New Roman" w:hAnsi="Times New Roman" w:cs="Times New Roman"/>
                <w:b/>
                <w:bCs/>
                <w:sz w:val="24"/>
                <w:highlight w:val="none"/>
              </w:rPr>
              <w:t>大气污染物排放标准值</w:t>
            </w:r>
          </w:p>
          <w:tbl>
            <w:tblPr>
              <w:tblStyle w:val="37"/>
              <w:tblW w:w="854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345"/>
              <w:gridCol w:w="2617"/>
              <w:gridCol w:w="3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339"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污染产生源</w:t>
                  </w:r>
                </w:p>
              </w:tc>
              <w:tc>
                <w:tcPr>
                  <w:tcW w:w="1345"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污染物</w:t>
                  </w:r>
                </w:p>
              </w:tc>
              <w:tc>
                <w:tcPr>
                  <w:tcW w:w="2617"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snapToGrid w:val="0"/>
                      <w:kern w:val="0"/>
                      <w:szCs w:val="21"/>
                    </w:rPr>
                    <w:t>标准值</w:t>
                  </w:r>
                </w:p>
              </w:tc>
              <w:tc>
                <w:tcPr>
                  <w:tcW w:w="3240"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1339" w:type="dxa"/>
                  <w:vMerge w:val="restart"/>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发泡、打板、切割</w:t>
                  </w:r>
                </w:p>
              </w:tc>
              <w:tc>
                <w:tcPr>
                  <w:tcW w:w="1345"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有组织</w:t>
                  </w:r>
                </w:p>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非甲烷总烃</w:t>
                  </w:r>
                </w:p>
              </w:tc>
              <w:tc>
                <w:tcPr>
                  <w:tcW w:w="2617" w:type="dxa"/>
                  <w:tcBorders>
                    <w:tl2br w:val="nil"/>
                    <w:tr2bl w:val="nil"/>
                  </w:tcBorders>
                  <w:noWrap w:val="0"/>
                  <w:vAlign w:val="center"/>
                </w:tcPr>
                <w:p>
                  <w:pPr>
                    <w:pStyle w:val="9"/>
                    <w:ind w:firstLine="0" w:firstLineChars="0"/>
                    <w:jc w:val="center"/>
                    <w:rPr>
                      <w:rFonts w:hint="default" w:ascii="Times New Roman" w:hAnsi="Times New Roman" w:eastAsia="宋体" w:cs="Times New Roman"/>
                      <w:b w:val="0"/>
                      <w:bCs w:val="0"/>
                      <w:color w:val="000000"/>
                      <w:sz w:val="21"/>
                      <w:szCs w:val="21"/>
                      <w:highlight w:val="none"/>
                      <w:vertAlign w:val="superscript"/>
                    </w:rPr>
                  </w:pPr>
                  <w:r>
                    <w:rPr>
                      <w:rFonts w:hint="default" w:ascii="Times New Roman" w:hAnsi="Times New Roman" w:eastAsia="宋体" w:cs="Times New Roman"/>
                      <w:b w:val="0"/>
                      <w:bCs w:val="0"/>
                      <w:color w:val="000000"/>
                      <w:sz w:val="21"/>
                      <w:szCs w:val="21"/>
                      <w:highlight w:val="none"/>
                      <w:lang w:val="en-US" w:eastAsia="zh-CN"/>
                    </w:rPr>
                    <w:t>最高允许排放浓度：</w:t>
                  </w:r>
                  <w:r>
                    <w:rPr>
                      <w:rFonts w:hint="default" w:ascii="Times New Roman" w:hAnsi="Times New Roman" w:eastAsia="宋体" w:cs="Times New Roman"/>
                      <w:b w:val="0"/>
                      <w:bCs w:val="0"/>
                      <w:color w:val="000000"/>
                      <w:sz w:val="21"/>
                      <w:szCs w:val="21"/>
                      <w:highlight w:val="none"/>
                    </w:rPr>
                    <w:t>80 mg/m</w:t>
                  </w:r>
                  <w:r>
                    <w:rPr>
                      <w:rFonts w:hint="default" w:ascii="Times New Roman" w:hAnsi="Times New Roman" w:eastAsia="宋体" w:cs="Times New Roman"/>
                      <w:b w:val="0"/>
                      <w:bCs w:val="0"/>
                      <w:color w:val="000000"/>
                      <w:sz w:val="21"/>
                      <w:szCs w:val="21"/>
                      <w:highlight w:val="none"/>
                      <w:vertAlign w:val="superscript"/>
                    </w:rPr>
                    <w:t>3</w:t>
                  </w:r>
                </w:p>
                <w:p>
                  <w:pPr>
                    <w:pStyle w:val="9"/>
                    <w:ind w:firstLine="0" w:firstLineChars="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eastAsia="zh-CN"/>
                    </w:rPr>
                    <w:t>最低去除效率≥</w:t>
                  </w:r>
                  <w:r>
                    <w:rPr>
                      <w:rFonts w:hint="default" w:ascii="Times New Roman" w:hAnsi="Times New Roman" w:eastAsia="宋体" w:cs="Times New Roman"/>
                      <w:highlight w:val="none"/>
                      <w:lang w:val="en-US" w:eastAsia="zh-CN"/>
                    </w:rPr>
                    <w:t>90%</w:t>
                  </w:r>
                </w:p>
                <w:p>
                  <w:pPr>
                    <w:pStyle w:val="9"/>
                    <w:ind w:firstLine="0" w:firstLineChars="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生产车间或生产设备边界大气污染物浓度</w:t>
                  </w:r>
                  <w:r>
                    <w:rPr>
                      <w:rFonts w:hint="default" w:ascii="Times New Roman" w:hAnsi="Times New Roman" w:eastAsia="宋体" w:cs="Times New Roman"/>
                      <w:b w:val="0"/>
                      <w:bCs w:val="0"/>
                      <w:color w:val="000000"/>
                      <w:sz w:val="21"/>
                      <w:szCs w:val="21"/>
                      <w:highlight w:val="none"/>
                      <w:lang w:val="en-US" w:eastAsia="zh-CN"/>
                    </w:rPr>
                    <w:t>：</w:t>
                  </w:r>
                  <w:r>
                    <w:rPr>
                      <w:rFonts w:hint="eastAsia" w:ascii="Times New Roman" w:hAnsi="Times New Roman" w:eastAsia="宋体" w:cs="Times New Roman"/>
                      <w:b w:val="0"/>
                      <w:bCs w:val="0"/>
                      <w:color w:val="000000"/>
                      <w:sz w:val="21"/>
                      <w:szCs w:val="21"/>
                      <w:highlight w:val="none"/>
                      <w:lang w:val="en-US" w:eastAsia="zh-CN"/>
                    </w:rPr>
                    <w:t>4.0</w:t>
                  </w:r>
                  <w:r>
                    <w:rPr>
                      <w:rFonts w:hint="default" w:ascii="Times New Roman" w:hAnsi="Times New Roman" w:eastAsia="宋体" w:cs="Times New Roman"/>
                      <w:b w:val="0"/>
                      <w:bCs w:val="0"/>
                      <w:color w:val="000000"/>
                      <w:sz w:val="21"/>
                      <w:szCs w:val="21"/>
                      <w:highlight w:val="none"/>
                    </w:rPr>
                    <w:t>mg/m</w:t>
                  </w:r>
                  <w:r>
                    <w:rPr>
                      <w:rFonts w:hint="default" w:ascii="Times New Roman" w:hAnsi="Times New Roman" w:eastAsia="宋体" w:cs="Times New Roman"/>
                      <w:b w:val="0"/>
                      <w:bCs w:val="0"/>
                      <w:color w:val="000000"/>
                      <w:sz w:val="21"/>
                      <w:szCs w:val="21"/>
                      <w:highlight w:val="none"/>
                      <w:vertAlign w:val="superscript"/>
                    </w:rPr>
                    <w:t>3</w:t>
                  </w:r>
                </w:p>
              </w:tc>
              <w:tc>
                <w:tcPr>
                  <w:tcW w:w="3240"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highlight w:val="none"/>
                      <w:u w:val="none" w:color="000000"/>
                      <w:lang w:val="en-US" w:eastAsia="zh-CN"/>
                    </w:rPr>
                  </w:pPr>
                  <w:r>
                    <w:rPr>
                      <w:rFonts w:hint="default" w:ascii="Times New Roman" w:hAnsi="Times New Roman" w:cs="Times New Roman"/>
                      <w:color w:val="000000"/>
                      <w:kern w:val="0"/>
                      <w:szCs w:val="21"/>
                      <w:highlight w:val="none"/>
                      <w:u w:val="none" w:color="000000"/>
                      <w:lang w:val="en-US" w:eastAsia="zh-CN"/>
                    </w:rPr>
                    <w:t>《工业企业挥发性有机物排放控制标准》（DB13/2322-2016）表1有机化工业大气污染物排放限值标准，若非甲烷总烃去除效率不满足要求，同时执行表3生产车间或生产设备边界大气污染物浓度限值标准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39" w:type="dxa"/>
                  <w:vMerge w:val="continue"/>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p>
              </w:tc>
              <w:tc>
                <w:tcPr>
                  <w:tcW w:w="1345"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无组织</w:t>
                  </w:r>
                </w:p>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非甲烷总烃</w:t>
                  </w:r>
                </w:p>
              </w:tc>
              <w:tc>
                <w:tcPr>
                  <w:tcW w:w="2617"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2.0mg/m</w:t>
                  </w:r>
                  <w:r>
                    <w:rPr>
                      <w:rFonts w:hint="default" w:ascii="Times New Roman" w:hAnsi="Times New Roman" w:cs="Times New Roman"/>
                      <w:color w:val="000000"/>
                      <w:kern w:val="0"/>
                      <w:szCs w:val="21"/>
                      <w:u w:val="none" w:color="000000"/>
                      <w:vertAlign w:val="superscript"/>
                      <w:lang w:val="en-US" w:eastAsia="zh-CN"/>
                    </w:rPr>
                    <w:t>3</w:t>
                  </w:r>
                </w:p>
              </w:tc>
              <w:tc>
                <w:tcPr>
                  <w:tcW w:w="3240"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highlight w:val="none"/>
                      <w:u w:val="none" w:color="000000"/>
                      <w:lang w:val="en-US" w:eastAsia="zh-CN"/>
                    </w:rPr>
                  </w:pPr>
                  <w:r>
                    <w:rPr>
                      <w:rFonts w:hint="default" w:ascii="Times New Roman" w:hAnsi="Times New Roman" w:cs="Times New Roman"/>
                      <w:color w:val="000000"/>
                      <w:kern w:val="0"/>
                      <w:szCs w:val="21"/>
                      <w:highlight w:val="none"/>
                      <w:u w:val="none" w:color="000000"/>
                      <w:lang w:val="en-US" w:eastAsia="zh-CN"/>
                    </w:rPr>
                    <w:t>《工业企业挥发性有机物排放控制标准》（DB13/2322-2016）表2其他行业企业边界浓度限值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39" w:type="dxa"/>
                  <w:vMerge w:val="restart"/>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打浆</w:t>
                  </w:r>
                </w:p>
              </w:tc>
              <w:tc>
                <w:tcPr>
                  <w:tcW w:w="1345"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有组织颗粒物</w:t>
                  </w:r>
                </w:p>
              </w:tc>
              <w:tc>
                <w:tcPr>
                  <w:tcW w:w="2617"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kern w:val="0"/>
                      <w:szCs w:val="21"/>
                      <w:highlight w:val="none"/>
                      <w:lang w:val="en-US" w:eastAsia="zh-CN"/>
                    </w:rPr>
                    <w:t>1</w:t>
                  </w:r>
                  <w:r>
                    <w:rPr>
                      <w:rFonts w:hint="default" w:ascii="Times New Roman" w:hAnsi="Times New Roman" w:cs="Times New Roman"/>
                      <w:kern w:val="0"/>
                      <w:szCs w:val="21"/>
                      <w:highlight w:val="none"/>
                    </w:rPr>
                    <w:t>0</w:t>
                  </w:r>
                  <w:r>
                    <w:rPr>
                      <w:rFonts w:hint="default" w:ascii="Times New Roman" w:hAnsi="Times New Roman" w:cs="Times New Roman"/>
                      <w:color w:val="000000"/>
                      <w:kern w:val="0"/>
                      <w:szCs w:val="21"/>
                      <w:u w:val="none" w:color="000000"/>
                      <w:lang w:val="en-US" w:eastAsia="zh-CN"/>
                    </w:rPr>
                    <w:t>mg/m</w:t>
                  </w:r>
                  <w:r>
                    <w:rPr>
                      <w:rFonts w:hint="default" w:ascii="Times New Roman" w:hAnsi="Times New Roman" w:cs="Times New Roman"/>
                      <w:color w:val="000000"/>
                      <w:kern w:val="0"/>
                      <w:szCs w:val="21"/>
                      <w:u w:val="none" w:color="000000"/>
                      <w:vertAlign w:val="superscript"/>
                      <w:lang w:val="en-US" w:eastAsia="zh-CN"/>
                    </w:rPr>
                    <w:t>3</w:t>
                  </w:r>
                </w:p>
              </w:tc>
              <w:tc>
                <w:tcPr>
                  <w:tcW w:w="3240" w:type="dxa"/>
                  <w:tcBorders>
                    <w:tl2br w:val="nil"/>
                    <w:tr2bl w:val="nil"/>
                  </w:tcBorders>
                  <w:noWrap w:val="0"/>
                  <w:vAlign w:val="center"/>
                </w:tcPr>
                <w:p>
                  <w:pPr>
                    <w:adjustRightInd w:val="0"/>
                    <w:spacing w:line="290" w:lineRule="exact"/>
                    <w:jc w:val="center"/>
                    <w:textAlignment w:val="baseline"/>
                    <w:rPr>
                      <w:rFonts w:hint="default" w:ascii="Times New Roman" w:hAnsi="Times New Roman" w:eastAsia="宋体" w:cs="Times New Roman"/>
                      <w:color w:val="000000"/>
                      <w:kern w:val="0"/>
                      <w:szCs w:val="21"/>
                      <w:highlight w:val="none"/>
                      <w:u w:val="none" w:color="000000"/>
                      <w:lang w:val="en-US" w:eastAsia="zh-CN"/>
                    </w:rPr>
                  </w:pPr>
                  <w:r>
                    <w:rPr>
                      <w:rFonts w:hint="default" w:ascii="Times New Roman" w:hAnsi="Times New Roman" w:eastAsia="宋体" w:cs="Times New Roman"/>
                      <w:color w:val="000000"/>
                      <w:kern w:val="0"/>
                      <w:szCs w:val="21"/>
                      <w:highlight w:val="none"/>
                      <w:u w:val="none" w:color="000000"/>
                      <w:lang w:val="en-US" w:eastAsia="zh-CN"/>
                    </w:rPr>
                    <w:t>《水泥工业大气污染物排放标准》（DB2167-2015）表1中第Ⅱ时段散装水泥中转站及水泥制品生产排放标准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39" w:type="dxa"/>
                  <w:vMerge w:val="continue"/>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p>
              </w:tc>
              <w:tc>
                <w:tcPr>
                  <w:tcW w:w="1345"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无组织颗粒物</w:t>
                  </w:r>
                </w:p>
              </w:tc>
              <w:tc>
                <w:tcPr>
                  <w:tcW w:w="2617" w:type="dxa"/>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0.5mg/m</w:t>
                  </w:r>
                  <w:r>
                    <w:rPr>
                      <w:rFonts w:hint="default" w:ascii="Times New Roman" w:hAnsi="Times New Roman" w:cs="Times New Roman"/>
                      <w:color w:val="000000"/>
                      <w:kern w:val="0"/>
                      <w:szCs w:val="21"/>
                      <w:u w:val="none" w:color="000000"/>
                      <w:vertAlign w:val="superscript"/>
                      <w:lang w:val="en-US" w:eastAsia="zh-CN"/>
                    </w:rPr>
                    <w:t>3</w:t>
                  </w:r>
                </w:p>
              </w:tc>
              <w:tc>
                <w:tcPr>
                  <w:tcW w:w="3240"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highlight w:val="none"/>
                      <w:u w:val="none" w:color="000000"/>
                      <w:lang w:val="en-US" w:eastAsia="zh-CN"/>
                    </w:rPr>
                  </w:pPr>
                  <w:r>
                    <w:rPr>
                      <w:rFonts w:hint="default" w:ascii="Times New Roman" w:hAnsi="Times New Roman" w:eastAsia="宋体" w:cs="Times New Roman"/>
                      <w:color w:val="000000"/>
                      <w:kern w:val="0"/>
                      <w:szCs w:val="21"/>
                      <w:highlight w:val="none"/>
                      <w:u w:val="none" w:color="000000"/>
                      <w:lang w:val="en-US" w:eastAsia="zh-CN"/>
                    </w:rPr>
                    <w:t>《水泥工业大气污染物排放标准》（DB2167-2015）表2大气污染物</w:t>
                  </w:r>
                  <w:r>
                    <w:rPr>
                      <w:rFonts w:hint="default" w:ascii="Times New Roman" w:hAnsi="Times New Roman" w:cs="Times New Roman"/>
                      <w:kern w:val="0"/>
                      <w:szCs w:val="21"/>
                      <w:highlight w:val="none"/>
                    </w:rPr>
                    <w:t>无组织排放监控浓度限值要求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39" w:type="dxa"/>
                  <w:vMerge w:val="restart"/>
                  <w:tcBorders>
                    <w:tl2br w:val="nil"/>
                    <w:tr2bl w:val="nil"/>
                  </w:tcBorders>
                  <w:noWrap w:val="0"/>
                  <w:vAlign w:val="center"/>
                </w:tcPr>
                <w:p>
                  <w:pPr>
                    <w:pStyle w:val="9"/>
                    <w:ind w:firstLine="0" w:firstLineChars="0"/>
                    <w:jc w:val="center"/>
                    <w:rPr>
                      <w:rFonts w:hint="default" w:ascii="Times New Roman" w:hAnsi="Times New Roman" w:cs="Times New Roman"/>
                      <w:color w:val="000000"/>
                      <w:kern w:val="0"/>
                      <w:szCs w:val="21"/>
                      <w:u w:val="none" w:color="000000"/>
                      <w:lang w:val="en-US" w:eastAsia="zh-CN"/>
                    </w:rPr>
                  </w:pPr>
                  <w:r>
                    <w:rPr>
                      <w:rFonts w:hint="default" w:ascii="Times New Roman" w:hAnsi="Times New Roman" w:cs="Times New Roman"/>
                      <w:color w:val="000000"/>
                      <w:kern w:val="0"/>
                      <w:szCs w:val="21"/>
                      <w:u w:val="none" w:color="000000"/>
                      <w:lang w:val="en-US" w:eastAsia="zh-CN"/>
                    </w:rPr>
                    <w:t>燃气锅炉</w:t>
                  </w:r>
                </w:p>
              </w:tc>
              <w:tc>
                <w:tcPr>
                  <w:tcW w:w="1345"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颗粒物</w:t>
                  </w:r>
                </w:p>
              </w:tc>
              <w:tc>
                <w:tcPr>
                  <w:tcW w:w="2617"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20mg/m</w:t>
                  </w:r>
                  <w:r>
                    <w:rPr>
                      <w:rFonts w:hint="default" w:ascii="Times New Roman" w:hAnsi="Times New Roman" w:cs="Times New Roman"/>
                      <w:kern w:val="0"/>
                      <w:szCs w:val="21"/>
                      <w:vertAlign w:val="superscript"/>
                    </w:rPr>
                    <w:t>3</w:t>
                  </w:r>
                </w:p>
              </w:tc>
              <w:tc>
                <w:tcPr>
                  <w:tcW w:w="3240" w:type="dxa"/>
                  <w:vMerge w:val="restart"/>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《锅炉大气污染物排放标准》（GB13271-2014）表3中大气污染物特别排放限值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487" w:hRule="atLeast"/>
              </w:trPr>
              <w:tc>
                <w:tcPr>
                  <w:tcW w:w="1339" w:type="dxa"/>
                  <w:vMerge w:val="continue"/>
                  <w:tcBorders>
                    <w:tl2br w:val="nil"/>
                    <w:tr2bl w:val="nil"/>
                  </w:tcBorders>
                  <w:noWrap w:val="0"/>
                  <w:vAlign w:val="top"/>
                </w:tcPr>
                <w:p>
                  <w:pPr>
                    <w:pStyle w:val="9"/>
                    <w:ind w:firstLine="0" w:firstLineChars="0"/>
                    <w:jc w:val="center"/>
                    <w:rPr>
                      <w:rFonts w:hint="default" w:ascii="Times New Roman" w:hAnsi="Times New Roman" w:cs="Times New Roman"/>
                      <w:color w:val="000000"/>
                      <w:kern w:val="0"/>
                      <w:szCs w:val="21"/>
                      <w:u w:val="none" w:color="000000"/>
                      <w:lang w:val="en-US" w:eastAsia="zh-CN"/>
                    </w:rPr>
                  </w:pPr>
                </w:p>
              </w:tc>
              <w:tc>
                <w:tcPr>
                  <w:tcW w:w="1345"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SO</w:t>
                  </w:r>
                  <w:r>
                    <w:rPr>
                      <w:rFonts w:hint="default" w:ascii="Times New Roman" w:hAnsi="Times New Roman" w:cs="Times New Roman"/>
                      <w:kern w:val="0"/>
                      <w:szCs w:val="21"/>
                      <w:vertAlign w:val="subscript"/>
                    </w:rPr>
                    <w:t>2</w:t>
                  </w:r>
                </w:p>
              </w:tc>
              <w:tc>
                <w:tcPr>
                  <w:tcW w:w="2617"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50mg/m</w:t>
                  </w:r>
                  <w:r>
                    <w:rPr>
                      <w:rFonts w:hint="default" w:ascii="Times New Roman" w:hAnsi="Times New Roman" w:cs="Times New Roman"/>
                      <w:kern w:val="0"/>
                      <w:szCs w:val="21"/>
                      <w:vertAlign w:val="superscript"/>
                    </w:rPr>
                    <w:t>3</w:t>
                  </w:r>
                </w:p>
              </w:tc>
              <w:tc>
                <w:tcPr>
                  <w:tcW w:w="3240" w:type="dxa"/>
                  <w:vMerge w:val="continue"/>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39" w:type="dxa"/>
                  <w:vMerge w:val="continue"/>
                  <w:tcBorders>
                    <w:tl2br w:val="nil"/>
                    <w:tr2bl w:val="nil"/>
                  </w:tcBorders>
                  <w:noWrap w:val="0"/>
                  <w:vAlign w:val="top"/>
                </w:tcPr>
                <w:p>
                  <w:pPr>
                    <w:pStyle w:val="9"/>
                    <w:ind w:firstLine="0" w:firstLineChars="0"/>
                    <w:jc w:val="center"/>
                    <w:rPr>
                      <w:rFonts w:hint="default" w:ascii="Times New Roman" w:hAnsi="Times New Roman" w:cs="Times New Roman"/>
                      <w:color w:val="000000"/>
                      <w:kern w:val="0"/>
                      <w:szCs w:val="21"/>
                      <w:u w:val="none" w:color="000000"/>
                      <w:lang w:val="en-US" w:eastAsia="zh-CN"/>
                    </w:rPr>
                  </w:pPr>
                </w:p>
              </w:tc>
              <w:tc>
                <w:tcPr>
                  <w:tcW w:w="1345"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NO</w:t>
                  </w:r>
                  <w:r>
                    <w:rPr>
                      <w:rFonts w:hint="default" w:ascii="Times New Roman" w:hAnsi="Times New Roman" w:cs="Times New Roman"/>
                      <w:kern w:val="0"/>
                      <w:szCs w:val="21"/>
                      <w:vertAlign w:val="subscript"/>
                    </w:rPr>
                    <w:t>x</w:t>
                  </w:r>
                </w:p>
              </w:tc>
              <w:tc>
                <w:tcPr>
                  <w:tcW w:w="2617"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150mg/m</w:t>
                  </w:r>
                  <w:r>
                    <w:rPr>
                      <w:rFonts w:hint="default" w:ascii="Times New Roman" w:hAnsi="Times New Roman" w:cs="Times New Roman"/>
                      <w:kern w:val="0"/>
                      <w:szCs w:val="21"/>
                      <w:vertAlign w:val="superscript"/>
                    </w:rPr>
                    <w:t>3</w:t>
                  </w:r>
                </w:p>
              </w:tc>
              <w:tc>
                <w:tcPr>
                  <w:tcW w:w="3240" w:type="dxa"/>
                  <w:vMerge w:val="continue"/>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339" w:type="dxa"/>
                  <w:vMerge w:val="continue"/>
                  <w:tcBorders>
                    <w:tl2br w:val="nil"/>
                    <w:tr2bl w:val="nil"/>
                  </w:tcBorders>
                  <w:noWrap w:val="0"/>
                  <w:vAlign w:val="top"/>
                </w:tcPr>
                <w:p>
                  <w:pPr>
                    <w:pStyle w:val="9"/>
                    <w:ind w:firstLine="0" w:firstLineChars="0"/>
                    <w:jc w:val="center"/>
                    <w:rPr>
                      <w:rFonts w:hint="default" w:ascii="Times New Roman" w:hAnsi="Times New Roman" w:cs="Times New Roman"/>
                      <w:color w:val="000000"/>
                      <w:kern w:val="0"/>
                      <w:szCs w:val="21"/>
                      <w:u w:val="none" w:color="000000"/>
                      <w:lang w:val="en-US" w:eastAsia="zh-CN"/>
                    </w:rPr>
                  </w:pPr>
                </w:p>
              </w:tc>
              <w:tc>
                <w:tcPr>
                  <w:tcW w:w="1345"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烟气黑度</w:t>
                  </w:r>
                </w:p>
              </w:tc>
              <w:tc>
                <w:tcPr>
                  <w:tcW w:w="2617" w:type="dxa"/>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r>
                    <w:rPr>
                      <w:rFonts w:hint="default" w:ascii="Times New Roman" w:hAnsi="Times New Roman" w:cs="Times New Roman"/>
                      <w:kern w:val="0"/>
                      <w:szCs w:val="21"/>
                    </w:rPr>
                    <w:t>&lt;1林格曼黑度，级</w:t>
                  </w:r>
                </w:p>
              </w:tc>
              <w:tc>
                <w:tcPr>
                  <w:tcW w:w="3240" w:type="dxa"/>
                  <w:vMerge w:val="continue"/>
                  <w:tcBorders>
                    <w:tl2br w:val="nil"/>
                    <w:tr2bl w:val="nil"/>
                  </w:tcBorders>
                  <w:noWrap w:val="0"/>
                  <w:vAlign w:val="center"/>
                </w:tcPr>
                <w:p>
                  <w:pPr>
                    <w:adjustRightInd w:val="0"/>
                    <w:spacing w:line="290" w:lineRule="exact"/>
                    <w:jc w:val="center"/>
                    <w:textAlignment w:val="baseline"/>
                    <w:rPr>
                      <w:rFonts w:hint="default" w:ascii="Times New Roman" w:hAnsi="Times New Roman" w:cs="Times New Roman"/>
                      <w:color w:val="000000"/>
                      <w:kern w:val="0"/>
                      <w:szCs w:val="21"/>
                      <w:u w:val="none" w:color="000000"/>
                    </w:rPr>
                  </w:pPr>
                </w:p>
              </w:tc>
            </w:tr>
          </w:tbl>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2、噪声</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运营期</w:t>
            </w:r>
            <w:r>
              <w:rPr>
                <w:rFonts w:hint="default" w:ascii="Times New Roman" w:hAnsi="Times New Roman" w:cs="Times New Roman"/>
                <w:color w:val="000000"/>
                <w:sz w:val="24"/>
              </w:rPr>
              <w:t>本项目运营期厂界</w:t>
            </w:r>
            <w:r>
              <w:rPr>
                <w:rFonts w:hint="default" w:ascii="Times New Roman" w:hAnsi="Times New Roman" w:cs="Times New Roman"/>
                <w:color w:val="000000"/>
                <w:sz w:val="24"/>
                <w:lang w:eastAsia="zh-CN"/>
              </w:rPr>
              <w:t>东</w:t>
            </w:r>
            <w:r>
              <w:rPr>
                <w:rFonts w:hint="default" w:ascii="Times New Roman" w:hAnsi="Times New Roman" w:cs="Times New Roman"/>
                <w:color w:val="000000"/>
                <w:sz w:val="24"/>
              </w:rPr>
              <w:t>、</w:t>
            </w:r>
            <w:r>
              <w:rPr>
                <w:rFonts w:hint="default" w:ascii="Times New Roman" w:hAnsi="Times New Roman" w:cs="Times New Roman"/>
                <w:color w:val="000000"/>
                <w:sz w:val="24"/>
                <w:lang w:eastAsia="zh-CN"/>
              </w:rPr>
              <w:t>南</w:t>
            </w:r>
            <w:r>
              <w:rPr>
                <w:rFonts w:hint="default" w:ascii="Times New Roman" w:hAnsi="Times New Roman" w:cs="Times New Roman"/>
                <w:color w:val="000000"/>
                <w:sz w:val="24"/>
              </w:rPr>
              <w:t>、北侧噪声排放执行《工业企业厂界环境噪声排放标准</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（GB12348-2008）</w:t>
            </w:r>
            <w:r>
              <w:rPr>
                <w:rFonts w:hint="default" w:ascii="Times New Roman" w:hAnsi="Times New Roman" w:cs="Times New Roman"/>
                <w:color w:val="000000"/>
                <w:sz w:val="24"/>
                <w:lang w:eastAsia="zh-CN"/>
              </w:rPr>
              <w:t>表</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中的2类标准，厂界</w:t>
            </w:r>
            <w:r>
              <w:rPr>
                <w:rFonts w:hint="default" w:ascii="Times New Roman" w:hAnsi="Times New Roman" w:cs="Times New Roman"/>
                <w:color w:val="000000"/>
                <w:sz w:val="24"/>
                <w:lang w:eastAsia="zh-CN"/>
              </w:rPr>
              <w:t>西</w:t>
            </w:r>
            <w:r>
              <w:rPr>
                <w:rFonts w:hint="default" w:ascii="Times New Roman" w:hAnsi="Times New Roman" w:cs="Times New Roman"/>
                <w:color w:val="000000"/>
                <w:sz w:val="24"/>
              </w:rPr>
              <w:t>侧噪声排放执行《工业企业厂界环境噪声排放标准</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（GB12348-2008）</w:t>
            </w:r>
            <w:r>
              <w:rPr>
                <w:rFonts w:hint="default" w:ascii="Times New Roman" w:hAnsi="Times New Roman" w:cs="Times New Roman"/>
                <w:color w:val="000000"/>
                <w:sz w:val="24"/>
                <w:lang w:eastAsia="zh-CN"/>
              </w:rPr>
              <w:t>表</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中的4类标准</w:t>
            </w:r>
            <w:r>
              <w:rPr>
                <w:rFonts w:hint="default" w:ascii="Times New Roman" w:hAnsi="Times New Roman" w:cs="Times New Roman"/>
                <w:sz w:val="24"/>
                <w:highlight w:val="none"/>
              </w:rPr>
              <w:t>。具体标准值见</w:t>
            </w:r>
            <w:r>
              <w:rPr>
                <w:rFonts w:hint="default" w:ascii="Times New Roman" w:hAnsi="Times New Roman" w:cs="Times New Roman"/>
                <w:sz w:val="24"/>
                <w:highlight w:val="none"/>
                <w:lang w:eastAsia="zh-CN"/>
              </w:rPr>
              <w:t>表</w:t>
            </w:r>
            <w:r>
              <w:rPr>
                <w:rFonts w:hint="default" w:ascii="Times New Roman" w:hAnsi="Times New Roman" w:cs="Times New Roman"/>
                <w:sz w:val="24"/>
                <w:highlight w:val="none"/>
                <w:lang w:val="en-US" w:eastAsia="zh-CN"/>
              </w:rPr>
              <w:t>11</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cs="Times New Roman"/>
                <w:sz w:val="24"/>
                <w:highlight w:val="none"/>
              </w:rPr>
            </w:pPr>
            <w:r>
              <w:rPr>
                <w:rFonts w:hint="default" w:ascii="Times New Roman" w:hAnsi="Times New Roman" w:cs="Times New Roman"/>
                <w:b/>
                <w:bCs/>
                <w:sz w:val="24"/>
                <w:highlight w:val="none"/>
              </w:rPr>
              <w:t>表</w:t>
            </w:r>
            <w:r>
              <w:rPr>
                <w:rFonts w:hint="default" w:ascii="Times New Roman" w:hAnsi="Times New Roman" w:cs="Times New Roman"/>
                <w:b/>
                <w:bCs/>
                <w:sz w:val="24"/>
                <w:highlight w:val="none"/>
                <w:lang w:val="en-US" w:eastAsia="zh-CN"/>
              </w:rPr>
              <w:t xml:space="preserve">11  </w:t>
            </w:r>
            <w:r>
              <w:rPr>
                <w:rFonts w:hint="default" w:ascii="Times New Roman" w:hAnsi="Times New Roman" w:cs="Times New Roman"/>
                <w:b/>
                <w:bCs/>
                <w:sz w:val="24"/>
                <w:highlight w:val="none"/>
              </w:rPr>
              <w:t>工业企业厂界环境噪声排放</w:t>
            </w:r>
            <w:r>
              <w:rPr>
                <w:rFonts w:hint="default" w:ascii="Times New Roman" w:hAnsi="Times New Roman" w:cs="Times New Roman"/>
                <w:b/>
                <w:bCs/>
                <w:sz w:val="24"/>
                <w:highlight w:val="none"/>
                <w:lang w:eastAsia="zh-CN"/>
              </w:rPr>
              <w:t>限值</w:t>
            </w:r>
          </w:p>
          <w:tbl>
            <w:tblPr>
              <w:tblStyle w:val="37"/>
              <w:tblW w:w="8541"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00"/>
              <w:gridCol w:w="2735"/>
              <w:gridCol w:w="290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00" w:type="dxa"/>
                  <w:noWrap w:val="0"/>
                  <w:vAlign w:val="center"/>
                </w:tcPr>
                <w:p>
                  <w:pPr>
                    <w:autoSpaceDN w:val="0"/>
                    <w:adjustRightInd w:val="0"/>
                    <w:snapToGrid w:val="0"/>
                    <w:spacing w:line="340" w:lineRule="exact"/>
                    <w:jc w:val="center"/>
                    <w:textAlignment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类别</w:t>
                  </w:r>
                </w:p>
              </w:tc>
              <w:tc>
                <w:tcPr>
                  <w:tcW w:w="2735" w:type="dxa"/>
                  <w:noWrap w:val="0"/>
                  <w:vAlign w:val="center"/>
                </w:tcPr>
                <w:p>
                  <w:pPr>
                    <w:autoSpaceDN w:val="0"/>
                    <w:adjustRightInd w:val="0"/>
                    <w:snapToGrid w:val="0"/>
                    <w:spacing w:line="340" w:lineRule="exact"/>
                    <w:jc w:val="center"/>
                    <w:textAlignment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昼间</w:t>
                  </w:r>
                </w:p>
              </w:tc>
              <w:tc>
                <w:tcPr>
                  <w:tcW w:w="2906" w:type="dxa"/>
                  <w:noWrap w:val="0"/>
                  <w:vAlign w:val="center"/>
                </w:tcPr>
                <w:p>
                  <w:pPr>
                    <w:autoSpaceDN w:val="0"/>
                    <w:adjustRightInd w:val="0"/>
                    <w:snapToGrid w:val="0"/>
                    <w:spacing w:line="340" w:lineRule="exact"/>
                    <w:jc w:val="center"/>
                    <w:textAlignment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2900" w:type="dxa"/>
                  <w:noWrap w:val="0"/>
                  <w:vAlign w:val="center"/>
                </w:tcPr>
                <w:p>
                  <w:pPr>
                    <w:autoSpaceDN w:val="0"/>
                    <w:adjustRightInd w:val="0"/>
                    <w:snapToGrid w:val="0"/>
                    <w:spacing w:line="340" w:lineRule="exact"/>
                    <w:jc w:val="center"/>
                    <w:textAlignment w:val="center"/>
                    <w:rPr>
                      <w:rFonts w:hint="default"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2</w:t>
                  </w:r>
                  <w:r>
                    <w:rPr>
                      <w:rFonts w:hint="default" w:ascii="Times New Roman" w:hAnsi="Times New Roman" w:cs="Times New Roman"/>
                      <w:bCs/>
                      <w:szCs w:val="21"/>
                      <w:highlight w:val="none"/>
                      <w:lang w:eastAsia="zh-CN"/>
                    </w:rPr>
                    <w:t>类</w:t>
                  </w:r>
                </w:p>
              </w:tc>
              <w:tc>
                <w:tcPr>
                  <w:tcW w:w="2735" w:type="dxa"/>
                  <w:noWrap w:val="0"/>
                  <w:vAlign w:val="center"/>
                </w:tcPr>
                <w:p>
                  <w:pPr>
                    <w:autoSpaceDN w:val="0"/>
                    <w:adjustRightInd w:val="0"/>
                    <w:snapToGrid w:val="0"/>
                    <w:spacing w:line="340" w:lineRule="exact"/>
                    <w:jc w:val="center"/>
                    <w:textAlignment w:val="center"/>
                    <w:rPr>
                      <w:rFonts w:hint="default"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60dB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2906" w:type="dxa"/>
                  <w:noWrap w:val="0"/>
                  <w:vAlign w:val="center"/>
                </w:tcPr>
                <w:p>
                  <w:pPr>
                    <w:autoSpaceDN w:val="0"/>
                    <w:adjustRightInd w:val="0"/>
                    <w:snapToGrid w:val="0"/>
                    <w:spacing w:line="340" w:lineRule="exact"/>
                    <w:jc w:val="center"/>
                    <w:textAlignment w:val="center"/>
                    <w:rPr>
                      <w:rFonts w:hint="default"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50dB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00" w:type="dxa"/>
                  <w:noWrap w:val="0"/>
                  <w:vAlign w:val="center"/>
                </w:tcPr>
                <w:p>
                  <w:pPr>
                    <w:autoSpaceDN w:val="0"/>
                    <w:adjustRightInd w:val="0"/>
                    <w:snapToGrid w:val="0"/>
                    <w:spacing w:line="340" w:lineRule="exact"/>
                    <w:jc w:val="center"/>
                    <w:textAlignment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4类</w:t>
                  </w:r>
                </w:p>
              </w:tc>
              <w:tc>
                <w:tcPr>
                  <w:tcW w:w="2735" w:type="dxa"/>
                  <w:noWrap w:val="0"/>
                  <w:vAlign w:val="center"/>
                </w:tcPr>
                <w:p>
                  <w:pPr>
                    <w:autoSpaceDN w:val="0"/>
                    <w:adjustRightInd w:val="0"/>
                    <w:snapToGrid w:val="0"/>
                    <w:spacing w:line="340" w:lineRule="exact"/>
                    <w:jc w:val="center"/>
                    <w:textAlignment w:val="center"/>
                    <w:rPr>
                      <w:rFonts w:hint="default"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70dB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c>
                <w:tcPr>
                  <w:tcW w:w="2906" w:type="dxa"/>
                  <w:noWrap w:val="0"/>
                  <w:vAlign w:val="center"/>
                </w:tcPr>
                <w:p>
                  <w:pPr>
                    <w:autoSpaceDN w:val="0"/>
                    <w:adjustRightInd w:val="0"/>
                    <w:snapToGrid w:val="0"/>
                    <w:spacing w:line="340" w:lineRule="exact"/>
                    <w:jc w:val="center"/>
                    <w:textAlignment w:val="center"/>
                    <w:rPr>
                      <w:rFonts w:hint="default"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55dB</w:t>
                  </w:r>
                  <w:r>
                    <w:rPr>
                      <w:rFonts w:hint="default" w:ascii="Times New Roman" w:hAnsi="Times New Roman" w:cs="Times New Roman"/>
                      <w:bCs/>
                      <w:szCs w:val="21"/>
                      <w:highlight w:val="none"/>
                      <w:lang w:eastAsia="zh-CN"/>
                    </w:rPr>
                    <w:t>（</w:t>
                  </w:r>
                  <w:r>
                    <w:rPr>
                      <w:rFonts w:hint="default" w:ascii="Times New Roman" w:hAnsi="Times New Roman" w:cs="Times New Roman"/>
                      <w:bCs/>
                      <w:szCs w:val="21"/>
                      <w:highlight w:val="none"/>
                    </w:rPr>
                    <w:t>A</w:t>
                  </w:r>
                  <w:r>
                    <w:rPr>
                      <w:rFonts w:hint="default" w:ascii="Times New Roman" w:hAnsi="Times New Roman" w:cs="Times New Roman"/>
                      <w:bCs/>
                      <w:szCs w:val="21"/>
                      <w:highlight w:val="none"/>
                      <w:lang w:eastAsia="zh-CN"/>
                    </w:rPr>
                    <w:t>）</w:t>
                  </w:r>
                </w:p>
              </w:tc>
            </w:tr>
          </w:tbl>
          <w:p>
            <w:pPr>
              <w:widowControl/>
              <w:spacing w:line="360" w:lineRule="auto"/>
              <w:ind w:right="-17" w:rightChars="-8"/>
              <w:jc w:val="left"/>
              <w:rPr>
                <w:rFonts w:hint="default" w:ascii="Times New Roman" w:hAnsi="Times New Roman" w:cs="Times New Roman"/>
                <w:sz w:val="24"/>
                <w:highlight w:val="none"/>
              </w:rPr>
            </w:pPr>
            <w:r>
              <w:rPr>
                <w:rFonts w:hint="default" w:ascii="Times New Roman" w:hAnsi="Times New Roman" w:cs="Times New Roman"/>
                <w:highlight w:val="none"/>
              </w:rPr>
              <w:t xml:space="preserve">  </w:t>
            </w:r>
            <w:r>
              <w:rPr>
                <w:rFonts w:hint="default" w:ascii="Times New Roman" w:hAnsi="Times New Roman" w:cs="Times New Roman"/>
                <w:sz w:val="24"/>
                <w:highlight w:val="none"/>
              </w:rPr>
              <w:t xml:space="preserve">   3、固废</w:t>
            </w:r>
          </w:p>
          <w:p>
            <w:pPr>
              <w:adjustRightInd w:val="0"/>
              <w:snapToGrid w:val="0"/>
              <w:spacing w:line="360" w:lineRule="auto"/>
              <w:ind w:firstLine="480" w:firstLineChars="200"/>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lang w:eastAsia="zh-CN"/>
              </w:rPr>
              <w:t>《危险废物贮存污染控制标准》（</w:t>
            </w:r>
            <w:r>
              <w:rPr>
                <w:rFonts w:hint="default" w:ascii="Times New Roman" w:hAnsi="Times New Roman" w:cs="Times New Roman"/>
                <w:sz w:val="24"/>
                <w:highlight w:val="none"/>
                <w:lang w:val="en-US" w:eastAsia="zh-CN"/>
              </w:rPr>
              <w:t>GB18597-2001</w:t>
            </w:r>
            <w:r>
              <w:rPr>
                <w:rFonts w:hint="default" w:ascii="Times New Roman" w:hAnsi="Times New Roman" w:cs="Times New Roman"/>
                <w:sz w:val="24"/>
                <w:highlight w:val="none"/>
                <w:lang w:eastAsia="zh-CN"/>
              </w:rPr>
              <w:t>）及其修改单；</w:t>
            </w:r>
          </w:p>
          <w:p>
            <w:pPr>
              <w:adjustRightInd w:val="0"/>
              <w:snapToGrid w:val="0"/>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sz w:val="24"/>
                <w:highlight w:val="none"/>
              </w:rPr>
              <w:t>一般</w:t>
            </w:r>
            <w:r>
              <w:rPr>
                <w:rFonts w:hint="default" w:ascii="Times New Roman" w:hAnsi="Times New Roman" w:cs="Times New Roman"/>
                <w:sz w:val="24"/>
                <w:highlight w:val="none"/>
                <w:lang w:eastAsia="zh-CN"/>
              </w:rPr>
              <w:t>工业固体废物处置</w:t>
            </w:r>
            <w:r>
              <w:rPr>
                <w:rFonts w:hint="default" w:ascii="Times New Roman" w:hAnsi="Times New Roman" w:cs="Times New Roman"/>
                <w:sz w:val="24"/>
                <w:highlight w:val="none"/>
              </w:rPr>
              <w:t>执行《一般工业固体废物贮存、处置物污染控制标准》（GB18599-2001）及2013</w:t>
            </w:r>
            <w:r>
              <w:rPr>
                <w:rFonts w:hint="eastAsia" w:ascii="Times New Roman" w:hAnsi="Times New Roman" w:cs="Times New Roman"/>
                <w:sz w:val="24"/>
                <w:highlight w:val="none"/>
                <w:lang w:eastAsia="zh-CN"/>
              </w:rPr>
              <w:t>年</w:t>
            </w:r>
            <w:r>
              <w:rPr>
                <w:rFonts w:hint="default" w:ascii="Times New Roman" w:hAnsi="Times New Roman" w:cs="Times New Roman"/>
                <w:sz w:val="24"/>
                <w:highlight w:val="none"/>
              </w:rPr>
              <w:t>修改单</w:t>
            </w:r>
            <w:r>
              <w:rPr>
                <w:rFonts w:hint="default" w:ascii="Times New Roman" w:hAnsi="Times New Roman" w:cs="Times New Roman"/>
                <w:sz w:val="24"/>
                <w:highlight w:val="none"/>
                <w:lang w:eastAsia="zh-CN"/>
              </w:rPr>
              <w:t>要求，生活垃圾执行《中华人民共和国固体废物污染环境防治法》（</w:t>
            </w:r>
            <w:r>
              <w:rPr>
                <w:rFonts w:hint="default" w:ascii="Times New Roman" w:hAnsi="Times New Roman" w:cs="Times New Roman"/>
                <w:sz w:val="24"/>
                <w:highlight w:val="none"/>
                <w:lang w:val="en-US" w:eastAsia="zh-CN"/>
              </w:rPr>
              <w:t>2016年修正</w:t>
            </w:r>
            <w:r>
              <w:rPr>
                <w:rFonts w:hint="default" w:ascii="Times New Roman" w:hAnsi="Times New Roman" w:cs="Times New Roman"/>
                <w:sz w:val="24"/>
                <w:highlight w:val="none"/>
                <w:lang w:eastAsia="zh-CN"/>
              </w:rPr>
              <w:t>）第三章第三节生活垃圾污染环境的防治规定</w:t>
            </w:r>
            <w:r>
              <w:rPr>
                <w:rFonts w:hint="default" w:ascii="Times New Roman" w:hAnsi="Times New Roman" w:cs="Times New Roman"/>
                <w:sz w:val="24"/>
                <w:highlight w:val="none"/>
              </w:rPr>
              <w:t xml:space="preserve">。     </w:t>
            </w:r>
            <w:r>
              <w:rPr>
                <w:rFonts w:hint="default" w:ascii="Times New Roman" w:hAnsi="Times New Roman" w:cs="Times New Roman"/>
                <w:highlight w:val="none"/>
              </w:rPr>
              <w:t xml:space="preserve">            </w:t>
            </w:r>
          </w:p>
          <w:p>
            <w:pPr>
              <w:pStyle w:val="9"/>
              <w:ind w:firstLine="0" w:firstLineChars="0"/>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4" w:hRule="atLeast"/>
          <w:jc w:val="center"/>
        </w:trPr>
        <w:tc>
          <w:tcPr>
            <w:tcW w:w="529" w:type="dxa"/>
            <w:noWrap w:val="0"/>
            <w:vAlign w:val="center"/>
          </w:tcPr>
          <w:p>
            <w:pPr>
              <w:pStyle w:val="12"/>
              <w:rPr>
                <w:rFonts w:hint="default" w:ascii="Times New Roman" w:hAnsi="Times New Roman" w:cs="Times New Roman"/>
                <w:b/>
                <w:highlight w:val="none"/>
              </w:rPr>
            </w:pPr>
            <w:r>
              <w:rPr>
                <w:rFonts w:hint="default" w:ascii="Times New Roman" w:hAnsi="Times New Roman" w:cs="Times New Roman"/>
                <w:b/>
                <w:sz w:val="24"/>
                <w:szCs w:val="20"/>
                <w:highlight w:val="none"/>
              </w:rPr>
              <w:t>总量控制指标</w:t>
            </w:r>
          </w:p>
        </w:tc>
        <w:tc>
          <w:tcPr>
            <w:tcW w:w="8757" w:type="dxa"/>
            <w:noWrap w:val="0"/>
            <w:vAlign w:val="top"/>
          </w:tcPr>
          <w:p>
            <w:pPr>
              <w:widowControl/>
              <w:adjustRightInd w:val="0"/>
              <w:snapToGrid w:val="0"/>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按照《国家环境保护“十三五”规划》，并根据本工程的污染物特征，确定污染物排放总量控制因子为：</w:t>
            </w:r>
            <w:r>
              <w:rPr>
                <w:rFonts w:hint="default" w:ascii="Times New Roman" w:hAnsi="Times New Roman" w:eastAsia="宋体" w:cs="Times New Roman"/>
                <w:color w:val="auto"/>
                <w:sz w:val="24"/>
                <w:szCs w:val="24"/>
                <w:highlight w:val="none"/>
                <w:lang w:val="en-US" w:eastAsia="zh-CN"/>
              </w:rPr>
              <w:t>VOCs</w:t>
            </w:r>
            <w:r>
              <w:rPr>
                <w:rFonts w:hint="default" w:ascii="Times New Roman" w:hAnsi="Times New Roman" w:cs="Times New Roman"/>
                <w:sz w:val="24"/>
              </w:rPr>
              <w:t>。</w:t>
            </w:r>
          </w:p>
          <w:p>
            <w:pPr>
              <w:widowControl/>
              <w:adjustRightInd w:val="0"/>
              <w:snapToGrid w:val="0"/>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根据河北省环境保护厅《关于进一步改革和优化建设项目主要污染物排放总量核定工作的通知》冀环总【2014】283号文件，建设项目总量指标按照污染物排放标准核定。本项目无废水外排，污染物排放总量控制因子为：</w:t>
            </w:r>
            <w:r>
              <w:rPr>
                <w:rFonts w:hint="default" w:ascii="Times New Roman" w:hAnsi="Times New Roman" w:eastAsia="宋体" w:cs="Times New Roman"/>
                <w:color w:val="auto"/>
                <w:sz w:val="24"/>
                <w:szCs w:val="24"/>
                <w:highlight w:val="none"/>
                <w:lang w:val="en-US" w:eastAsia="zh-CN"/>
              </w:rPr>
              <w:t>VOCs</w:t>
            </w:r>
            <w:r>
              <w:rPr>
                <w:rFonts w:hint="default" w:ascii="Times New Roman" w:hAnsi="Times New Roman" w:cs="Times New Roman"/>
                <w:sz w:val="24"/>
              </w:rPr>
              <w:t>。</w:t>
            </w:r>
          </w:p>
          <w:p>
            <w:pPr>
              <w:pStyle w:val="44"/>
              <w:spacing w:line="500" w:lineRule="exact"/>
              <w:ind w:firstLine="480"/>
              <w:rPr>
                <w:rFonts w:hint="default" w:ascii="Times New Roman" w:hAnsi="Times New Roman" w:eastAsia="宋体" w:cs="Times New Roman"/>
                <w:kern w:val="2"/>
                <w:szCs w:val="20"/>
                <w:lang w:val="en-US" w:eastAsia="zh-CN"/>
              </w:rPr>
            </w:pPr>
            <w:r>
              <w:rPr>
                <w:rFonts w:hint="default" w:ascii="Times New Roman" w:hAnsi="Times New Roman" w:cs="Times New Roman"/>
                <w:kern w:val="2"/>
                <w:szCs w:val="20"/>
              </w:rPr>
              <w:t>（1）</w:t>
            </w:r>
            <w:r>
              <w:rPr>
                <w:rFonts w:hint="default" w:ascii="Times New Roman" w:hAnsi="Times New Roman" w:cs="Times New Roman"/>
                <w:kern w:val="2"/>
                <w:szCs w:val="20"/>
                <w:lang w:eastAsia="zh-CN"/>
              </w:rPr>
              <w:t>按照标准法核算</w:t>
            </w:r>
          </w:p>
          <w:p>
            <w:pPr>
              <w:pStyle w:val="44"/>
              <w:spacing w:line="500" w:lineRule="exact"/>
              <w:ind w:firstLine="480"/>
              <w:rPr>
                <w:rFonts w:hint="default" w:ascii="Times New Roman" w:hAnsi="Times New Roman" w:eastAsia="宋体" w:cs="Times New Roman"/>
                <w:kern w:val="2"/>
                <w:szCs w:val="20"/>
                <w:lang w:eastAsia="zh-CN"/>
              </w:rPr>
            </w:pPr>
            <w:r>
              <w:rPr>
                <w:rFonts w:hint="default" w:ascii="Times New Roman" w:hAnsi="Times New Roman" w:eastAsia="宋体" w:cs="Times New Roman"/>
                <w:kern w:val="2"/>
                <w:szCs w:val="20"/>
              </w:rPr>
              <w:t>①</w:t>
            </w:r>
            <w:r>
              <w:rPr>
                <w:rFonts w:hint="default" w:ascii="Times New Roman" w:hAnsi="Times New Roman" w:cs="Times New Roman"/>
                <w:kern w:val="2"/>
                <w:szCs w:val="20"/>
                <w:lang w:eastAsia="zh-CN"/>
              </w:rPr>
              <w:t>发泡、打板、切割工序</w:t>
            </w:r>
          </w:p>
          <w:p>
            <w:pPr>
              <w:pStyle w:val="44"/>
              <w:spacing w:line="500" w:lineRule="exact"/>
              <w:ind w:firstLine="480"/>
              <w:rPr>
                <w:rFonts w:hint="default" w:ascii="Times New Roman" w:hAnsi="Times New Roman" w:cs="Times New Roman"/>
                <w:kern w:val="2"/>
                <w:szCs w:val="20"/>
              </w:rPr>
            </w:pPr>
            <w:r>
              <w:rPr>
                <w:rFonts w:hint="default" w:ascii="Times New Roman" w:hAnsi="Times New Roman" w:cs="Times New Roman"/>
                <w:kern w:val="2"/>
                <w:szCs w:val="20"/>
              </w:rPr>
              <w:t>项目</w:t>
            </w:r>
            <w:r>
              <w:rPr>
                <w:rFonts w:hint="default" w:ascii="Times New Roman" w:hAnsi="Times New Roman" w:cs="Times New Roman"/>
                <w:kern w:val="2"/>
                <w:szCs w:val="20"/>
                <w:lang w:eastAsia="zh-CN"/>
              </w:rPr>
              <w:t>发泡、打板、切割</w:t>
            </w:r>
            <w:r>
              <w:rPr>
                <w:rFonts w:hint="default" w:ascii="Times New Roman" w:hAnsi="Times New Roman" w:cs="Times New Roman"/>
                <w:kern w:val="2"/>
                <w:szCs w:val="20"/>
              </w:rPr>
              <w:t>工序的废气量为</w:t>
            </w:r>
            <w:r>
              <w:rPr>
                <w:rFonts w:hint="default" w:ascii="Times New Roman" w:hAnsi="Times New Roman" w:cs="Times New Roman"/>
                <w:kern w:val="2"/>
                <w:szCs w:val="20"/>
                <w:lang w:val="en-US" w:eastAsia="zh-CN"/>
              </w:rPr>
              <w:t>2000</w:t>
            </w:r>
            <w:r>
              <w:rPr>
                <w:rFonts w:hint="default" w:ascii="Times New Roman" w:hAnsi="Times New Roman" w:cs="Times New Roman"/>
                <w:kern w:val="2"/>
                <w:szCs w:val="20"/>
              </w:rPr>
              <w:t>m</w:t>
            </w:r>
            <w:r>
              <w:rPr>
                <w:rFonts w:hint="default" w:ascii="Times New Roman" w:hAnsi="Times New Roman" w:cs="Times New Roman"/>
                <w:kern w:val="2"/>
                <w:szCs w:val="20"/>
                <w:vertAlign w:val="superscript"/>
              </w:rPr>
              <w:t>3</w:t>
            </w:r>
            <w:r>
              <w:rPr>
                <w:rFonts w:hint="default" w:ascii="Times New Roman" w:hAnsi="Times New Roman" w:cs="Times New Roman"/>
                <w:kern w:val="2"/>
                <w:szCs w:val="20"/>
              </w:rPr>
              <w:t>/</w:t>
            </w:r>
            <w:r>
              <w:rPr>
                <w:rFonts w:hint="default" w:ascii="Times New Roman" w:hAnsi="Times New Roman" w:cs="Times New Roman"/>
                <w:kern w:val="2"/>
                <w:szCs w:val="20"/>
                <w:lang w:val="en-US" w:eastAsia="zh-CN"/>
              </w:rPr>
              <w:t>h</w:t>
            </w:r>
            <w:r>
              <w:rPr>
                <w:rFonts w:hint="default" w:ascii="Times New Roman" w:hAnsi="Times New Roman" w:cs="Times New Roman"/>
                <w:kern w:val="2"/>
                <w:szCs w:val="20"/>
              </w:rPr>
              <w:t>，</w:t>
            </w:r>
            <w:r>
              <w:rPr>
                <w:rFonts w:hint="default" w:ascii="Times New Roman" w:hAnsi="Times New Roman" w:cs="Times New Roman"/>
                <w:kern w:val="2"/>
                <w:szCs w:val="20"/>
                <w:lang w:eastAsia="zh-CN"/>
              </w:rPr>
              <w:t>非甲烷总烃</w:t>
            </w:r>
            <w:r>
              <w:rPr>
                <w:rFonts w:hint="default" w:ascii="Times New Roman" w:hAnsi="Times New Roman" w:cs="Times New Roman"/>
                <w:kern w:val="2"/>
                <w:szCs w:val="20"/>
              </w:rPr>
              <w:t>排放执行《工业企业挥发性有机物排放控制标准》（DB13/2322-2016）表1</w:t>
            </w:r>
            <w:r>
              <w:rPr>
                <w:rFonts w:hint="default" w:ascii="Times New Roman" w:hAnsi="Times New Roman" w:cs="Times New Roman"/>
                <w:kern w:val="2"/>
                <w:szCs w:val="20"/>
                <w:lang w:eastAsia="zh-CN"/>
              </w:rPr>
              <w:t>有机化工业</w:t>
            </w:r>
            <w:r>
              <w:rPr>
                <w:rFonts w:hint="default" w:ascii="Times New Roman" w:hAnsi="Times New Roman" w:cs="Times New Roman"/>
                <w:kern w:val="2"/>
                <w:szCs w:val="20"/>
              </w:rPr>
              <w:t>大气污染物排放限值，即</w:t>
            </w:r>
            <w:r>
              <w:rPr>
                <w:rFonts w:hint="default" w:ascii="Times New Roman" w:hAnsi="Times New Roman" w:cs="Times New Roman"/>
                <w:kern w:val="2"/>
                <w:szCs w:val="20"/>
                <w:lang w:val="en-US" w:eastAsia="zh-CN"/>
              </w:rPr>
              <w:t>80</w:t>
            </w:r>
            <w:r>
              <w:rPr>
                <w:rFonts w:hint="default" w:ascii="Times New Roman" w:hAnsi="Times New Roman" w:cs="Times New Roman"/>
                <w:kern w:val="2"/>
                <w:szCs w:val="20"/>
              </w:rPr>
              <w:t>mg/m</w:t>
            </w:r>
            <w:r>
              <w:rPr>
                <w:rFonts w:hint="default" w:ascii="Times New Roman" w:hAnsi="Times New Roman" w:cs="Times New Roman"/>
                <w:kern w:val="2"/>
                <w:szCs w:val="20"/>
                <w:vertAlign w:val="superscript"/>
              </w:rPr>
              <w:t>3</w:t>
            </w:r>
            <w:r>
              <w:rPr>
                <w:rFonts w:hint="default" w:ascii="Times New Roman" w:hAnsi="Times New Roman" w:cs="Times New Roman"/>
                <w:kern w:val="2"/>
                <w:szCs w:val="20"/>
              </w:rPr>
              <w:t>。</w:t>
            </w:r>
          </w:p>
          <w:p>
            <w:pPr>
              <w:adjustRightInd w:val="0"/>
              <w:snapToGrid w:val="0"/>
              <w:spacing w:line="500" w:lineRule="exact"/>
              <w:ind w:firstLine="480" w:firstLineChars="200"/>
              <w:rPr>
                <w:rFonts w:hint="default" w:ascii="Times New Roman" w:hAnsi="Times New Roman" w:eastAsia="宋体" w:cs="Times New Roman"/>
                <w:sz w:val="24"/>
                <w:lang w:eastAsia="zh-CN"/>
              </w:rPr>
            </w:pPr>
            <w:r>
              <w:rPr>
                <w:rFonts w:hint="default" w:ascii="Times New Roman" w:hAnsi="Times New Roman" w:cs="Times New Roman"/>
                <w:sz w:val="24"/>
              </w:rPr>
              <w:t>据此核算项目</w:t>
            </w:r>
            <w:r>
              <w:rPr>
                <w:rFonts w:hint="default" w:ascii="Times New Roman" w:hAnsi="Times New Roman" w:cs="Times New Roman"/>
                <w:sz w:val="24"/>
                <w:lang w:eastAsia="zh-CN"/>
              </w:rPr>
              <w:t>发泡</w:t>
            </w:r>
            <w:r>
              <w:rPr>
                <w:rFonts w:hint="default" w:ascii="Times New Roman" w:hAnsi="Times New Roman" w:cs="Times New Roman"/>
                <w:sz w:val="24"/>
              </w:rPr>
              <w:t>工序</w:t>
            </w:r>
            <w:r>
              <w:rPr>
                <w:rFonts w:hint="default" w:ascii="Times New Roman" w:hAnsi="Times New Roman" w:cs="Times New Roman"/>
                <w:sz w:val="24"/>
                <w:lang w:eastAsia="zh-CN"/>
              </w:rPr>
              <w:t>非甲烷总烃</w:t>
            </w:r>
          </w:p>
          <w:p>
            <w:pPr>
              <w:adjustRightInd w:val="0"/>
              <w:snapToGrid w:val="0"/>
              <w:spacing w:line="500" w:lineRule="exact"/>
              <w:ind w:firstLine="480" w:firstLineChars="200"/>
              <w:rPr>
                <w:rFonts w:hint="default" w:ascii="Times New Roman" w:hAnsi="Times New Roman" w:cs="Times New Roman"/>
                <w:kern w:val="2"/>
                <w:szCs w:val="20"/>
              </w:rPr>
            </w:pPr>
            <w:r>
              <w:rPr>
                <w:rFonts w:hint="default" w:ascii="Times New Roman" w:hAnsi="Times New Roman" w:cs="Times New Roman"/>
                <w:sz w:val="24"/>
              </w:rPr>
              <w:t>=</w:t>
            </w:r>
            <w:r>
              <w:rPr>
                <w:rFonts w:hint="default" w:ascii="Times New Roman" w:hAnsi="Times New Roman" w:cs="Times New Roman"/>
                <w:sz w:val="24"/>
                <w:lang w:val="en-US" w:eastAsia="zh-CN"/>
              </w:rPr>
              <w:t>2000</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w:t>
            </w:r>
            <w:r>
              <w:rPr>
                <w:rFonts w:hint="default" w:ascii="Times New Roman" w:hAnsi="Times New Roman" w:cs="Times New Roman"/>
                <w:sz w:val="24"/>
                <w:lang w:val="en-US" w:eastAsia="zh-CN"/>
              </w:rPr>
              <w:t>h</w:t>
            </w:r>
            <w:r>
              <w:rPr>
                <w:rFonts w:hint="default" w:ascii="Times New Roman" w:hAnsi="Times New Roman" w:cs="Times New Roman"/>
                <w:sz w:val="24"/>
              </w:rPr>
              <w:t>×</w:t>
            </w:r>
            <w:r>
              <w:rPr>
                <w:rFonts w:hint="default" w:ascii="Times New Roman" w:hAnsi="Times New Roman" w:cs="Times New Roman"/>
                <w:sz w:val="24"/>
                <w:lang w:val="en-US" w:eastAsia="zh-CN"/>
              </w:rPr>
              <w:t>300d</w:t>
            </w:r>
            <w:r>
              <w:rPr>
                <w:rFonts w:hint="default" w:ascii="Times New Roman" w:hAnsi="Times New Roman" w:cs="Times New Roman"/>
                <w:sz w:val="24"/>
              </w:rPr>
              <w:t>×</w:t>
            </w:r>
            <w:r>
              <w:rPr>
                <w:rFonts w:hint="default" w:ascii="Times New Roman" w:hAnsi="Times New Roman" w:cs="Times New Roman"/>
                <w:sz w:val="24"/>
                <w:lang w:val="en-US" w:eastAsia="zh-CN"/>
              </w:rPr>
              <w:t>8h</w:t>
            </w:r>
            <w:r>
              <w:rPr>
                <w:rFonts w:hint="default" w:ascii="Times New Roman" w:hAnsi="Times New Roman" w:cs="Times New Roman"/>
                <w:sz w:val="24"/>
              </w:rPr>
              <w:t>×</w:t>
            </w:r>
            <w:r>
              <w:rPr>
                <w:rFonts w:hint="default" w:ascii="Times New Roman" w:hAnsi="Times New Roman" w:cs="Times New Roman"/>
                <w:sz w:val="24"/>
                <w:szCs w:val="24"/>
                <w:lang w:val="en-US" w:eastAsia="zh-CN"/>
              </w:rPr>
              <w:t>80</w:t>
            </w:r>
            <w:r>
              <w:rPr>
                <w:rFonts w:hint="default" w:ascii="Times New Roman" w:hAnsi="Times New Roman" w:cs="Times New Roman"/>
                <w:kern w:val="2"/>
                <w:sz w:val="24"/>
                <w:szCs w:val="24"/>
              </w:rPr>
              <w:t>mg/m</w:t>
            </w:r>
            <w:r>
              <w:rPr>
                <w:rFonts w:hint="default" w:ascii="Times New Roman" w:hAnsi="Times New Roman" w:cs="Times New Roman"/>
                <w:kern w:val="2"/>
                <w:sz w:val="24"/>
                <w:szCs w:val="24"/>
                <w:vertAlign w:val="superscript"/>
              </w:rPr>
              <w:t>3</w:t>
            </w:r>
            <w:r>
              <w:rPr>
                <w:rFonts w:hint="default" w:ascii="Times New Roman" w:hAnsi="Times New Roman" w:cs="Times New Roman"/>
                <w:sz w:val="24"/>
              </w:rPr>
              <w:t>×10</w:t>
            </w:r>
            <w:r>
              <w:rPr>
                <w:rFonts w:hint="default" w:ascii="Times New Roman" w:hAnsi="Times New Roman" w:cs="Times New Roman"/>
                <w:sz w:val="24"/>
                <w:vertAlign w:val="superscript"/>
              </w:rPr>
              <w:t>-9</w:t>
            </w:r>
            <w:r>
              <w:rPr>
                <w:rFonts w:hint="default" w:ascii="Times New Roman" w:hAnsi="Times New Roman" w:cs="Times New Roman"/>
                <w:sz w:val="24"/>
              </w:rPr>
              <w:t>=</w:t>
            </w:r>
            <w:r>
              <w:rPr>
                <w:rFonts w:hint="default" w:ascii="Times New Roman" w:hAnsi="Times New Roman" w:cs="Times New Roman"/>
                <w:sz w:val="24"/>
                <w:lang w:val="en-US" w:eastAsia="zh-CN"/>
              </w:rPr>
              <w:t>0.384</w:t>
            </w:r>
            <w:r>
              <w:rPr>
                <w:rFonts w:hint="default" w:ascii="Times New Roman" w:hAnsi="Times New Roman" w:cs="Times New Roman"/>
                <w:sz w:val="24"/>
              </w:rPr>
              <w:t>t/a。</w:t>
            </w:r>
          </w:p>
          <w:p>
            <w:pPr>
              <w:pStyle w:val="44"/>
              <w:spacing w:line="500" w:lineRule="exact"/>
              <w:ind w:firstLine="480"/>
              <w:rPr>
                <w:rFonts w:hint="default" w:ascii="Times New Roman" w:hAnsi="Times New Roman" w:eastAsia="宋体" w:cs="Times New Roman"/>
                <w:kern w:val="2"/>
                <w:szCs w:val="20"/>
                <w:lang w:eastAsia="zh-CN"/>
              </w:rPr>
            </w:pPr>
            <w:r>
              <w:rPr>
                <w:rFonts w:hint="default" w:ascii="Times New Roman" w:hAnsi="Times New Roman" w:eastAsia="宋体" w:cs="Times New Roman"/>
                <w:kern w:val="2"/>
                <w:szCs w:val="20"/>
              </w:rPr>
              <w:t>②</w:t>
            </w:r>
            <w:r>
              <w:rPr>
                <w:rFonts w:hint="default" w:ascii="Times New Roman" w:hAnsi="Times New Roman" w:cs="Times New Roman"/>
                <w:kern w:val="2"/>
                <w:szCs w:val="20"/>
                <w:lang w:eastAsia="zh-CN"/>
              </w:rPr>
              <w:t>燃气锅炉</w:t>
            </w:r>
          </w:p>
          <w:p>
            <w:pPr>
              <w:pStyle w:val="44"/>
              <w:spacing w:line="500" w:lineRule="exact"/>
              <w:ind w:firstLine="480"/>
              <w:rPr>
                <w:rFonts w:hint="default" w:ascii="Times New Roman" w:hAnsi="Times New Roman" w:cs="Times New Roman"/>
                <w:kern w:val="2"/>
                <w:szCs w:val="20"/>
              </w:rPr>
            </w:pPr>
            <w:r>
              <w:rPr>
                <w:rFonts w:hint="default" w:ascii="Times New Roman" w:hAnsi="Times New Roman" w:cs="Times New Roman"/>
                <w:kern w:val="0"/>
                <w:sz w:val="24"/>
              </w:rPr>
              <w:t>燃气</w:t>
            </w:r>
            <w:r>
              <w:rPr>
                <w:rFonts w:hint="default" w:ascii="Times New Roman" w:hAnsi="Times New Roman" w:cs="Times New Roman"/>
                <w:kern w:val="0"/>
                <w:sz w:val="24"/>
                <w:lang w:eastAsia="zh-CN"/>
              </w:rPr>
              <w:t>锅炉</w:t>
            </w:r>
            <w:r>
              <w:rPr>
                <w:rFonts w:hint="default" w:ascii="Times New Roman" w:hAnsi="Times New Roman" w:cs="Times New Roman"/>
                <w:kern w:val="0"/>
                <w:sz w:val="24"/>
              </w:rPr>
              <w:t>排放的SO</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、NOx排放执行《锅炉大气污染物排放标准》（GB13271-2014）表3中大气污染物特别排放限值</w:t>
            </w:r>
            <w:r>
              <w:rPr>
                <w:rFonts w:hint="default" w:ascii="Times New Roman" w:hAnsi="Times New Roman" w:cs="Times New Roman"/>
                <w:kern w:val="2"/>
                <w:szCs w:val="20"/>
              </w:rPr>
              <w:t>，即</w:t>
            </w:r>
            <w:r>
              <w:rPr>
                <w:rFonts w:hint="default" w:ascii="Times New Roman" w:hAnsi="Times New Roman" w:cs="Times New Roman"/>
                <w:kern w:val="0"/>
                <w:sz w:val="24"/>
              </w:rPr>
              <w:t>SO</w:t>
            </w:r>
            <w:r>
              <w:rPr>
                <w:rFonts w:hint="default" w:ascii="Times New Roman" w:hAnsi="Times New Roman" w:cs="Times New Roman"/>
                <w:kern w:val="0"/>
                <w:sz w:val="24"/>
                <w:vertAlign w:val="subscript"/>
              </w:rPr>
              <w:t>2</w:t>
            </w:r>
            <w:r>
              <w:rPr>
                <w:rFonts w:hint="default" w:ascii="Times New Roman" w:hAnsi="Times New Roman" w:cs="Times New Roman"/>
                <w:kern w:val="0"/>
                <w:sz w:val="24"/>
                <w:lang w:eastAsia="zh-CN"/>
              </w:rPr>
              <w:t>：</w:t>
            </w:r>
            <w:r>
              <w:rPr>
                <w:rFonts w:hint="default" w:ascii="Times New Roman" w:hAnsi="Times New Roman" w:cs="Times New Roman"/>
                <w:kern w:val="2"/>
                <w:szCs w:val="20"/>
                <w:lang w:val="en-US" w:eastAsia="zh-CN"/>
              </w:rPr>
              <w:t>50</w:t>
            </w:r>
            <w:r>
              <w:rPr>
                <w:rFonts w:hint="default" w:ascii="Times New Roman" w:hAnsi="Times New Roman" w:cs="Times New Roman"/>
                <w:kern w:val="2"/>
                <w:szCs w:val="20"/>
              </w:rPr>
              <w:t>mg/m</w:t>
            </w:r>
            <w:r>
              <w:rPr>
                <w:rFonts w:hint="default" w:ascii="Times New Roman" w:hAnsi="Times New Roman" w:cs="Times New Roman"/>
                <w:kern w:val="2"/>
                <w:szCs w:val="20"/>
                <w:vertAlign w:val="superscript"/>
              </w:rPr>
              <w:t>3</w:t>
            </w:r>
            <w:r>
              <w:rPr>
                <w:rFonts w:hint="default" w:ascii="Times New Roman" w:hAnsi="Times New Roman" w:cs="Times New Roman"/>
                <w:kern w:val="0"/>
                <w:sz w:val="24"/>
              </w:rPr>
              <w:t>、NOx</w:t>
            </w:r>
            <w:r>
              <w:rPr>
                <w:rFonts w:hint="default" w:ascii="Times New Roman" w:hAnsi="Times New Roman" w:cs="Times New Roman"/>
                <w:kern w:val="0"/>
                <w:sz w:val="24"/>
                <w:lang w:eastAsia="zh-CN"/>
              </w:rPr>
              <w:t>：</w:t>
            </w:r>
            <w:r>
              <w:rPr>
                <w:rFonts w:hint="default" w:ascii="Times New Roman" w:hAnsi="Times New Roman" w:cs="Times New Roman"/>
                <w:kern w:val="2"/>
                <w:szCs w:val="20"/>
                <w:lang w:val="en-US" w:eastAsia="zh-CN"/>
              </w:rPr>
              <w:t>150</w:t>
            </w:r>
            <w:r>
              <w:rPr>
                <w:rFonts w:hint="default" w:ascii="Times New Roman" w:hAnsi="Times New Roman" w:cs="Times New Roman"/>
                <w:kern w:val="2"/>
                <w:szCs w:val="20"/>
              </w:rPr>
              <w:t>mg/m</w:t>
            </w:r>
            <w:r>
              <w:rPr>
                <w:rFonts w:hint="default" w:ascii="Times New Roman" w:hAnsi="Times New Roman" w:cs="Times New Roman"/>
                <w:kern w:val="2"/>
                <w:szCs w:val="20"/>
                <w:vertAlign w:val="superscript"/>
              </w:rPr>
              <w:t>3</w:t>
            </w:r>
            <w:r>
              <w:rPr>
                <w:rFonts w:hint="default" w:ascii="Times New Roman" w:hAnsi="Times New Roman" w:cs="Times New Roman"/>
                <w:kern w:val="2"/>
                <w:szCs w:val="20"/>
              </w:rPr>
              <w:t>。</w:t>
            </w:r>
          </w:p>
          <w:p>
            <w:pPr>
              <w:pStyle w:val="44"/>
              <w:spacing w:line="500" w:lineRule="exact"/>
              <w:ind w:firstLine="480"/>
              <w:rPr>
                <w:rFonts w:hint="default" w:ascii="Times New Roman" w:hAnsi="Times New Roman" w:cs="Times New Roman"/>
                <w:kern w:val="2"/>
                <w:szCs w:val="20"/>
                <w:lang w:eastAsia="zh-CN"/>
              </w:rPr>
            </w:pPr>
            <w:r>
              <w:rPr>
                <w:rFonts w:hint="default" w:ascii="Times New Roman" w:hAnsi="Times New Roman" w:cs="Times New Roman"/>
                <w:kern w:val="2"/>
                <w:szCs w:val="20"/>
              </w:rPr>
              <w:t>新建锅炉以天然气为燃料，天然气用量为4.5×10</w:t>
            </w:r>
            <w:r>
              <w:rPr>
                <w:rFonts w:hint="default" w:ascii="Times New Roman" w:hAnsi="Times New Roman" w:cs="Times New Roman"/>
                <w:kern w:val="2"/>
                <w:szCs w:val="20"/>
                <w:vertAlign w:val="superscript"/>
              </w:rPr>
              <w:t>4</w:t>
            </w:r>
            <w:r>
              <w:rPr>
                <w:rFonts w:hint="default" w:ascii="Times New Roman" w:hAnsi="Times New Roman" w:cs="Times New Roman"/>
                <w:kern w:val="2"/>
                <w:szCs w:val="20"/>
              </w:rPr>
              <w:t>m</w:t>
            </w:r>
            <w:r>
              <w:rPr>
                <w:rFonts w:hint="default" w:ascii="Times New Roman" w:hAnsi="Times New Roman" w:cs="Times New Roman"/>
                <w:kern w:val="2"/>
                <w:szCs w:val="20"/>
                <w:vertAlign w:val="superscript"/>
              </w:rPr>
              <w:t>3</w:t>
            </w:r>
            <w:r>
              <w:rPr>
                <w:rFonts w:hint="default" w:ascii="Times New Roman" w:hAnsi="Times New Roman" w:cs="Times New Roman"/>
                <w:kern w:val="2"/>
                <w:szCs w:val="20"/>
              </w:rPr>
              <w:t>/a，参照《全国污染源普查工业污染源产排污系数手册（2010年）》及《工业源产排污系数手册》（2010年）、《北京环境总体规划研究》中天然气锅炉的产污系数，烟气量产污系数</w:t>
            </w:r>
            <w:r>
              <w:rPr>
                <w:rFonts w:hint="default" w:ascii="Times New Roman" w:hAnsi="Times New Roman" w:cs="Times New Roman"/>
                <w:kern w:val="2"/>
                <w:szCs w:val="20"/>
                <w:lang w:eastAsia="zh-CN"/>
              </w:rPr>
              <w:t>为：</w:t>
            </w:r>
            <w:r>
              <w:rPr>
                <w:rFonts w:hint="default" w:ascii="Times New Roman" w:hAnsi="Times New Roman" w:cs="Times New Roman"/>
                <w:kern w:val="2"/>
                <w:szCs w:val="20"/>
              </w:rPr>
              <w:t>136259.17 标立方米/万立方米-原料</w:t>
            </w:r>
            <w:r>
              <w:rPr>
                <w:rFonts w:hint="default" w:ascii="Times New Roman" w:hAnsi="Times New Roman" w:cs="Times New Roman"/>
                <w:kern w:val="2"/>
                <w:szCs w:val="20"/>
                <w:lang w:eastAsia="zh-CN"/>
              </w:rPr>
              <w:t>。</w:t>
            </w:r>
          </w:p>
          <w:p>
            <w:pPr>
              <w:pStyle w:val="44"/>
              <w:spacing w:line="500" w:lineRule="exact"/>
              <w:ind w:firstLine="480"/>
              <w:rPr>
                <w:rFonts w:hint="default" w:ascii="Times New Roman" w:hAnsi="Times New Roman" w:cs="Times New Roman"/>
                <w:kern w:val="2"/>
                <w:szCs w:val="20"/>
              </w:rPr>
            </w:pPr>
            <w:r>
              <w:rPr>
                <w:rFonts w:hint="default" w:ascii="Times New Roman" w:hAnsi="Times New Roman" w:cs="Times New Roman"/>
                <w:sz w:val="24"/>
                <w:szCs w:val="24"/>
              </w:rPr>
              <w:t>据此核算项目</w:t>
            </w:r>
            <w:r>
              <w:rPr>
                <w:rFonts w:hint="default" w:ascii="Times New Roman" w:hAnsi="Times New Roman" w:cs="Times New Roman"/>
                <w:kern w:val="2"/>
                <w:szCs w:val="20"/>
              </w:rPr>
              <w:t>烟气量</w:t>
            </w:r>
          </w:p>
          <w:p>
            <w:pPr>
              <w:pStyle w:val="44"/>
              <w:spacing w:line="500" w:lineRule="exact"/>
              <w:ind w:firstLine="480"/>
              <w:rPr>
                <w:rFonts w:hint="default" w:ascii="Times New Roman" w:hAnsi="Times New Roman" w:eastAsia="宋体" w:cs="Times New Roman"/>
                <w:kern w:val="2"/>
                <w:szCs w:val="20"/>
                <w:lang w:eastAsia="zh-CN"/>
              </w:rPr>
            </w:pPr>
            <w:r>
              <w:rPr>
                <w:rFonts w:hint="default" w:ascii="Times New Roman" w:hAnsi="Times New Roman" w:cs="Times New Roman"/>
                <w:kern w:val="2"/>
                <w:szCs w:val="20"/>
                <w:lang w:val="en-US" w:eastAsia="zh-CN"/>
              </w:rPr>
              <w:t>=</w:t>
            </w:r>
            <w:r>
              <w:rPr>
                <w:rFonts w:hint="default" w:ascii="Times New Roman" w:hAnsi="Times New Roman" w:cs="Times New Roman"/>
                <w:kern w:val="2"/>
                <w:szCs w:val="20"/>
              </w:rPr>
              <w:t>136259.17 标立方米/万立方米×4.5</w:t>
            </w:r>
            <w:r>
              <w:rPr>
                <w:rFonts w:hint="default" w:ascii="Times New Roman" w:hAnsi="Times New Roman" w:cs="Times New Roman"/>
                <w:kern w:val="2"/>
                <w:szCs w:val="20"/>
                <w:lang w:eastAsia="zh-CN"/>
              </w:rPr>
              <w:t>万</w:t>
            </w:r>
            <w:r>
              <w:rPr>
                <w:rFonts w:hint="default" w:ascii="Times New Roman" w:hAnsi="Times New Roman" w:cs="Times New Roman"/>
                <w:kern w:val="2"/>
                <w:szCs w:val="20"/>
              </w:rPr>
              <w:t>m</w:t>
            </w:r>
            <w:r>
              <w:rPr>
                <w:rFonts w:hint="default" w:ascii="Times New Roman" w:hAnsi="Times New Roman" w:cs="Times New Roman"/>
                <w:kern w:val="2"/>
                <w:szCs w:val="20"/>
                <w:vertAlign w:val="superscript"/>
              </w:rPr>
              <w:t>3</w:t>
            </w:r>
            <w:r>
              <w:rPr>
                <w:rFonts w:hint="default" w:ascii="Times New Roman" w:hAnsi="Times New Roman" w:cs="Times New Roman"/>
                <w:kern w:val="2"/>
                <w:szCs w:val="20"/>
              </w:rPr>
              <w:t>/a</w:t>
            </w:r>
            <w:r>
              <w:rPr>
                <w:rFonts w:hint="default" w:ascii="Times New Roman" w:hAnsi="Times New Roman" w:cs="Times New Roman"/>
                <w:kern w:val="2"/>
                <w:szCs w:val="20"/>
                <w:lang w:val="en-US" w:eastAsia="zh-CN"/>
              </w:rPr>
              <w:t>=</w:t>
            </w:r>
            <w:r>
              <w:rPr>
                <w:rFonts w:hint="default" w:ascii="Times New Roman" w:hAnsi="Times New Roman" w:cs="Times New Roman"/>
                <w:kern w:val="2"/>
                <w:szCs w:val="20"/>
              </w:rPr>
              <w:t>61</w:t>
            </w:r>
            <w:r>
              <w:rPr>
                <w:rFonts w:hint="default" w:ascii="Times New Roman" w:hAnsi="Times New Roman" w:cs="Times New Roman"/>
                <w:kern w:val="2"/>
                <w:szCs w:val="20"/>
                <w:lang w:val="en-US" w:eastAsia="zh-CN"/>
              </w:rPr>
              <w:t>.</w:t>
            </w:r>
            <w:r>
              <w:rPr>
                <w:rFonts w:hint="default" w:ascii="Times New Roman" w:hAnsi="Times New Roman" w:cs="Times New Roman"/>
                <w:kern w:val="2"/>
                <w:szCs w:val="20"/>
              </w:rPr>
              <w:t>3166</w:t>
            </w:r>
            <w:r>
              <w:rPr>
                <w:rFonts w:hint="default" w:ascii="Times New Roman" w:hAnsi="Times New Roman" w:cs="Times New Roman"/>
                <w:kern w:val="2"/>
                <w:sz w:val="24"/>
                <w:szCs w:val="24"/>
                <w:lang w:val="en-US" w:eastAsia="zh-CN"/>
              </w:rPr>
              <w:t>万</w:t>
            </w:r>
            <w:r>
              <w:rPr>
                <w:rFonts w:hint="default" w:ascii="Times New Roman" w:hAnsi="Times New Roman" w:cs="Times New Roman"/>
                <w:kern w:val="2"/>
                <w:sz w:val="24"/>
                <w:szCs w:val="24"/>
              </w:rPr>
              <w:t>m</w:t>
            </w:r>
            <w:r>
              <w:rPr>
                <w:rFonts w:hint="default" w:ascii="Times New Roman" w:hAnsi="Times New Roman" w:cs="Times New Roman"/>
                <w:kern w:val="2"/>
                <w:sz w:val="24"/>
                <w:szCs w:val="24"/>
                <w:vertAlign w:val="superscript"/>
              </w:rPr>
              <w:t>3</w:t>
            </w:r>
            <w:r>
              <w:rPr>
                <w:rFonts w:hint="default" w:ascii="Times New Roman" w:hAnsi="Times New Roman" w:cs="Times New Roman"/>
                <w:kern w:val="2"/>
                <w:sz w:val="24"/>
                <w:szCs w:val="24"/>
              </w:rPr>
              <w:t>/</w:t>
            </w:r>
            <w:r>
              <w:rPr>
                <w:rFonts w:hint="default" w:ascii="Times New Roman" w:hAnsi="Times New Roman" w:cs="Times New Roman"/>
                <w:kern w:val="2"/>
                <w:sz w:val="24"/>
                <w:szCs w:val="24"/>
                <w:lang w:val="en-US" w:eastAsia="zh-CN"/>
              </w:rPr>
              <w:t>a</w:t>
            </w:r>
            <w:r>
              <w:rPr>
                <w:rFonts w:hint="default" w:ascii="Times New Roman" w:hAnsi="Times New Roman" w:cs="Times New Roman"/>
                <w:kern w:val="2"/>
                <w:szCs w:val="20"/>
                <w:lang w:eastAsia="zh-CN"/>
              </w:rPr>
              <w:t>。</w:t>
            </w:r>
          </w:p>
          <w:p>
            <w:pPr>
              <w:adjustRightInd w:val="0"/>
              <w:snapToGrid w:val="0"/>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据此核算项目</w:t>
            </w:r>
            <w:r>
              <w:rPr>
                <w:rFonts w:hint="default" w:ascii="Times New Roman" w:hAnsi="Times New Roman" w:cs="Times New Roman"/>
                <w:kern w:val="0"/>
                <w:sz w:val="24"/>
                <w:szCs w:val="24"/>
              </w:rPr>
              <w:t>SO</w:t>
            </w:r>
            <w:r>
              <w:rPr>
                <w:rFonts w:hint="default" w:ascii="Times New Roman" w:hAnsi="Times New Roman" w:cs="Times New Roman"/>
                <w:kern w:val="0"/>
                <w:sz w:val="24"/>
                <w:szCs w:val="24"/>
                <w:vertAlign w:val="subscript"/>
              </w:rPr>
              <w:t>2</w:t>
            </w:r>
          </w:p>
          <w:p>
            <w:pPr>
              <w:adjustRightInd w:val="0"/>
              <w:snapToGrid w:val="0"/>
              <w:spacing w:line="500" w:lineRule="exact"/>
              <w:ind w:firstLine="480" w:firstLineChars="200"/>
              <w:rPr>
                <w:rFonts w:hint="default" w:ascii="Times New Roman" w:hAnsi="Times New Roman" w:cs="Times New Roman"/>
                <w:kern w:val="2"/>
                <w:sz w:val="24"/>
                <w:szCs w:val="24"/>
              </w:rPr>
            </w:pPr>
            <w:r>
              <w:rPr>
                <w:rFonts w:hint="default" w:ascii="Times New Roman" w:hAnsi="Times New Roman" w:cs="Times New Roman"/>
                <w:sz w:val="24"/>
                <w:szCs w:val="24"/>
              </w:rPr>
              <w:t>=</w:t>
            </w:r>
            <w:r>
              <w:rPr>
                <w:rFonts w:hint="default" w:ascii="Times New Roman" w:hAnsi="Times New Roman" w:cs="Times New Roman"/>
                <w:kern w:val="2"/>
                <w:sz w:val="24"/>
                <w:szCs w:val="24"/>
                <w:lang w:val="en-US" w:eastAsia="zh-CN"/>
              </w:rPr>
              <w:t>61.3166万</w:t>
            </w:r>
            <w:r>
              <w:rPr>
                <w:rFonts w:hint="default" w:ascii="Times New Roman" w:hAnsi="Times New Roman" w:cs="Times New Roman"/>
                <w:kern w:val="2"/>
                <w:sz w:val="24"/>
                <w:szCs w:val="24"/>
              </w:rPr>
              <w:t>m</w:t>
            </w:r>
            <w:r>
              <w:rPr>
                <w:rFonts w:hint="default" w:ascii="Times New Roman" w:hAnsi="Times New Roman" w:cs="Times New Roman"/>
                <w:kern w:val="2"/>
                <w:sz w:val="24"/>
                <w:szCs w:val="24"/>
                <w:vertAlign w:val="superscript"/>
              </w:rPr>
              <w:t>3</w:t>
            </w:r>
            <w:r>
              <w:rPr>
                <w:rFonts w:hint="default" w:ascii="Times New Roman" w:hAnsi="Times New Roman" w:cs="Times New Roman"/>
                <w:kern w:val="2"/>
                <w:sz w:val="24"/>
                <w:szCs w:val="24"/>
              </w:rPr>
              <w:t>/</w:t>
            </w:r>
            <w:r>
              <w:rPr>
                <w:rFonts w:hint="default" w:ascii="Times New Roman" w:hAnsi="Times New Roman" w:cs="Times New Roman"/>
                <w:kern w:val="2"/>
                <w:sz w:val="24"/>
                <w:szCs w:val="24"/>
                <w:lang w:val="en-US" w:eastAsia="zh-CN"/>
              </w:rPr>
              <w:t>a</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50</w:t>
            </w:r>
            <w:r>
              <w:rPr>
                <w:rFonts w:hint="default" w:ascii="Times New Roman" w:hAnsi="Times New Roman" w:cs="Times New Roman"/>
                <w:kern w:val="2"/>
                <w:sz w:val="24"/>
                <w:szCs w:val="24"/>
              </w:rPr>
              <w:t>mg/m</w:t>
            </w:r>
            <w:r>
              <w:rPr>
                <w:rFonts w:hint="default" w:ascii="Times New Roman" w:hAnsi="Times New Roman" w:cs="Times New Roman"/>
                <w:kern w:val="2"/>
                <w:sz w:val="24"/>
                <w:szCs w:val="24"/>
                <w:vertAlign w:val="superscript"/>
              </w:rPr>
              <w:t>3</w:t>
            </w:r>
            <w:r>
              <w:rPr>
                <w:rFonts w:hint="default" w:ascii="Times New Roman" w:hAnsi="Times New Roman" w:cs="Times New Roman"/>
                <w:sz w:val="24"/>
                <w:szCs w:val="24"/>
              </w:rPr>
              <w:t>×10</w:t>
            </w:r>
            <w:r>
              <w:rPr>
                <w:rFonts w:hint="default" w:ascii="Times New Roman" w:hAnsi="Times New Roman" w:cs="Times New Roman"/>
                <w:sz w:val="24"/>
                <w:szCs w:val="24"/>
                <w:vertAlign w:val="superscript"/>
              </w:rPr>
              <w:t>-9</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0.031</w:t>
            </w:r>
            <w:r>
              <w:rPr>
                <w:rFonts w:hint="default" w:ascii="Times New Roman" w:hAnsi="Times New Roman" w:cs="Times New Roman"/>
                <w:sz w:val="24"/>
                <w:szCs w:val="24"/>
              </w:rPr>
              <w:t>t/a。</w:t>
            </w:r>
          </w:p>
          <w:p>
            <w:pPr>
              <w:adjustRightInd w:val="0"/>
              <w:snapToGrid w:val="0"/>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据此核算项目</w:t>
            </w:r>
            <w:r>
              <w:rPr>
                <w:rFonts w:hint="default" w:ascii="Times New Roman" w:hAnsi="Times New Roman" w:cs="Times New Roman"/>
                <w:kern w:val="0"/>
                <w:sz w:val="24"/>
                <w:szCs w:val="24"/>
              </w:rPr>
              <w:t>NOx</w:t>
            </w:r>
          </w:p>
          <w:p>
            <w:pPr>
              <w:adjustRightInd w:val="0"/>
              <w:snapToGrid w:val="0"/>
              <w:spacing w:line="500" w:lineRule="exact"/>
              <w:ind w:firstLine="480" w:firstLineChars="200"/>
              <w:rPr>
                <w:rFonts w:hint="default" w:ascii="Times New Roman" w:hAnsi="Times New Roman" w:cs="Times New Roman"/>
                <w:kern w:val="2"/>
                <w:szCs w:val="20"/>
              </w:rPr>
            </w:pPr>
            <w:r>
              <w:rPr>
                <w:rFonts w:hint="default" w:ascii="Times New Roman" w:hAnsi="Times New Roman" w:cs="Times New Roman"/>
                <w:sz w:val="24"/>
                <w:szCs w:val="24"/>
              </w:rPr>
              <w:t>=</w:t>
            </w:r>
            <w:r>
              <w:rPr>
                <w:rFonts w:hint="default" w:ascii="Times New Roman" w:hAnsi="Times New Roman" w:cs="Times New Roman"/>
                <w:kern w:val="2"/>
                <w:sz w:val="24"/>
                <w:szCs w:val="24"/>
                <w:lang w:val="en-US" w:eastAsia="zh-CN"/>
              </w:rPr>
              <w:t>61.3166万</w:t>
            </w:r>
            <w:r>
              <w:rPr>
                <w:rFonts w:hint="default" w:ascii="Times New Roman" w:hAnsi="Times New Roman" w:cs="Times New Roman"/>
                <w:kern w:val="2"/>
                <w:sz w:val="24"/>
                <w:szCs w:val="24"/>
              </w:rPr>
              <w:t>m</w:t>
            </w:r>
            <w:r>
              <w:rPr>
                <w:rFonts w:hint="default" w:ascii="Times New Roman" w:hAnsi="Times New Roman" w:cs="Times New Roman"/>
                <w:kern w:val="2"/>
                <w:sz w:val="24"/>
                <w:szCs w:val="24"/>
                <w:vertAlign w:val="superscript"/>
              </w:rPr>
              <w:t>3</w:t>
            </w:r>
            <w:r>
              <w:rPr>
                <w:rFonts w:hint="default" w:ascii="Times New Roman" w:hAnsi="Times New Roman" w:cs="Times New Roman"/>
                <w:kern w:val="2"/>
                <w:sz w:val="24"/>
                <w:szCs w:val="24"/>
              </w:rPr>
              <w:t>/</w:t>
            </w:r>
            <w:r>
              <w:rPr>
                <w:rFonts w:hint="default" w:ascii="Times New Roman" w:hAnsi="Times New Roman" w:cs="Times New Roman"/>
                <w:kern w:val="2"/>
                <w:sz w:val="24"/>
                <w:szCs w:val="24"/>
                <w:lang w:val="en-US" w:eastAsia="zh-CN"/>
              </w:rPr>
              <w:t>a</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150</w:t>
            </w:r>
            <w:r>
              <w:rPr>
                <w:rFonts w:hint="default" w:ascii="Times New Roman" w:hAnsi="Times New Roman" w:cs="Times New Roman"/>
                <w:kern w:val="2"/>
                <w:sz w:val="24"/>
                <w:szCs w:val="24"/>
              </w:rPr>
              <w:t>mg/m</w:t>
            </w:r>
            <w:r>
              <w:rPr>
                <w:rFonts w:hint="default" w:ascii="Times New Roman" w:hAnsi="Times New Roman" w:cs="Times New Roman"/>
                <w:kern w:val="2"/>
                <w:sz w:val="24"/>
                <w:szCs w:val="24"/>
                <w:vertAlign w:val="superscript"/>
              </w:rPr>
              <w:t>3</w:t>
            </w:r>
            <w:r>
              <w:rPr>
                <w:rFonts w:hint="default" w:ascii="Times New Roman" w:hAnsi="Times New Roman" w:cs="Times New Roman"/>
                <w:sz w:val="24"/>
                <w:szCs w:val="24"/>
              </w:rPr>
              <w:t>×</w:t>
            </w:r>
            <w:r>
              <w:rPr>
                <w:rFonts w:hint="default" w:ascii="Times New Roman" w:hAnsi="Times New Roman" w:cs="Times New Roman"/>
                <w:sz w:val="24"/>
              </w:rPr>
              <w:t>10</w:t>
            </w:r>
            <w:r>
              <w:rPr>
                <w:rFonts w:hint="default" w:ascii="Times New Roman" w:hAnsi="Times New Roman" w:cs="Times New Roman"/>
                <w:sz w:val="24"/>
                <w:vertAlign w:val="superscript"/>
              </w:rPr>
              <w:t>-9</w:t>
            </w:r>
            <w:r>
              <w:rPr>
                <w:rFonts w:hint="default" w:ascii="Times New Roman" w:hAnsi="Times New Roman" w:cs="Times New Roman"/>
                <w:sz w:val="24"/>
              </w:rPr>
              <w:t>=</w:t>
            </w:r>
            <w:r>
              <w:rPr>
                <w:rFonts w:hint="default" w:ascii="Times New Roman" w:hAnsi="Times New Roman" w:cs="Times New Roman"/>
                <w:sz w:val="24"/>
                <w:lang w:val="en-US" w:eastAsia="zh-CN"/>
              </w:rPr>
              <w:t>0.092</w:t>
            </w:r>
            <w:r>
              <w:rPr>
                <w:rFonts w:hint="default" w:ascii="Times New Roman" w:hAnsi="Times New Roman" w:cs="Times New Roman"/>
                <w:sz w:val="24"/>
              </w:rPr>
              <w:t>t/a。</w:t>
            </w:r>
          </w:p>
          <w:p>
            <w:pPr>
              <w:widowControl/>
              <w:adjustRightInd w:val="0"/>
              <w:snapToGrid w:val="0"/>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lang w:val="en-US" w:eastAsia="zh-CN"/>
              </w:rPr>
              <w:t>本项目建议总量控制指标为</w:t>
            </w:r>
            <w:r>
              <w:rPr>
                <w:rFonts w:hint="default" w:ascii="Times New Roman" w:hAnsi="Times New Roman" w:eastAsia="宋体" w:cs="Times New Roman"/>
                <w:color w:val="auto"/>
                <w:sz w:val="24"/>
                <w:szCs w:val="24"/>
                <w:highlight w:val="none"/>
              </w:rPr>
              <w:t>COD：0t/a，NH</w:t>
            </w:r>
            <w:r>
              <w:rPr>
                <w:rFonts w:hint="default" w:ascii="Times New Roman" w:hAnsi="Times New Roman" w:eastAsia="宋体" w:cs="Times New Roman"/>
                <w:color w:val="auto"/>
                <w:sz w:val="24"/>
                <w:szCs w:val="24"/>
                <w:highlight w:val="none"/>
                <w:vertAlign w:val="subscript"/>
              </w:rPr>
              <w:t>3</w:t>
            </w:r>
            <w:r>
              <w:rPr>
                <w:rFonts w:hint="default" w:ascii="Times New Roman" w:hAnsi="Times New Roman" w:eastAsia="宋体" w:cs="Times New Roman"/>
                <w:color w:val="auto"/>
                <w:sz w:val="24"/>
                <w:szCs w:val="24"/>
                <w:highlight w:val="none"/>
              </w:rPr>
              <w:t>-N：0t/a，SO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.031</w:t>
            </w:r>
            <w:r>
              <w:rPr>
                <w:rFonts w:hint="default" w:ascii="Times New Roman" w:hAnsi="Times New Roman" w:eastAsia="宋体" w:cs="Times New Roman"/>
                <w:color w:val="auto"/>
                <w:sz w:val="24"/>
                <w:szCs w:val="24"/>
                <w:highlight w:val="none"/>
              </w:rPr>
              <w:t>t/a，NOx：0</w:t>
            </w:r>
            <w:r>
              <w:rPr>
                <w:rFonts w:hint="default" w:ascii="Times New Roman" w:hAnsi="Times New Roman" w:eastAsia="宋体" w:cs="Times New Roman"/>
                <w:color w:val="auto"/>
                <w:sz w:val="24"/>
                <w:szCs w:val="24"/>
                <w:highlight w:val="none"/>
                <w:lang w:val="en-US" w:eastAsia="zh-CN"/>
              </w:rPr>
              <w:t>.092</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VOCs：0.384t/a</w:t>
            </w:r>
            <w:r>
              <w:rPr>
                <w:rFonts w:hint="default" w:ascii="Times New Roman" w:hAnsi="Times New Roman" w:eastAsia="宋体" w:cs="Times New Roman"/>
                <w:color w:val="auto"/>
                <w:kern w:val="0"/>
                <w:sz w:val="24"/>
                <w:szCs w:val="24"/>
                <w:highlight w:val="none"/>
                <w:lang w:eastAsia="zh-CN"/>
              </w:rPr>
              <w:t>。</w:t>
            </w:r>
          </w:p>
          <w:p>
            <w:pPr>
              <w:pStyle w:val="2"/>
              <w:rPr>
                <w:rFonts w:hint="default" w:ascii="Times New Roman" w:hAnsi="Times New Roman" w:cs="Times New Roman"/>
              </w:rPr>
            </w:pPr>
          </w:p>
          <w:p>
            <w:pPr>
              <w:spacing w:line="500" w:lineRule="exact"/>
              <w:rPr>
                <w:rFonts w:hint="default" w:ascii="Times New Roman" w:hAnsi="Times New Roman" w:cs="Times New Roman"/>
                <w:sz w:val="24"/>
                <w:highlight w:val="none"/>
              </w:rPr>
            </w:pPr>
          </w:p>
          <w:p>
            <w:pPr>
              <w:spacing w:line="500" w:lineRule="exact"/>
              <w:rPr>
                <w:rFonts w:hint="default" w:ascii="Times New Roman" w:hAnsi="Times New Roman" w:cs="Times New Roman"/>
                <w:sz w:val="24"/>
                <w:highlight w:val="none"/>
              </w:rPr>
            </w:pPr>
          </w:p>
        </w:tc>
      </w:tr>
    </w:tbl>
    <w:p>
      <w:pPr>
        <w:outlineLvl w:val="0"/>
        <w:rPr>
          <w:b/>
          <w:color w:val="000000"/>
          <w:sz w:val="32"/>
          <w:highlight w:val="none"/>
        </w:rPr>
      </w:pPr>
      <w:r>
        <w:rPr>
          <w:b/>
          <w:color w:val="000000"/>
          <w:sz w:val="32"/>
          <w:highlight w:val="none"/>
        </w:rPr>
        <w:br w:type="page"/>
      </w:r>
      <w:r>
        <w:rPr>
          <w:b/>
          <w:color w:val="000000"/>
          <w:sz w:val="32"/>
          <w:highlight w:val="none"/>
        </w:rPr>
        <w:t>建设项目工程分析</w:t>
      </w:r>
    </w:p>
    <w:tbl>
      <w:tblPr>
        <w:tblStyle w:val="37"/>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9" w:hRule="atLeast"/>
        </w:trPr>
        <w:tc>
          <w:tcPr>
            <w:tcW w:w="9024" w:type="dxa"/>
            <w:tcBorders>
              <w:top w:val="single" w:color="auto" w:sz="4" w:space="0"/>
            </w:tcBorders>
            <w:noWrap w:val="0"/>
            <w:vAlign w:val="top"/>
          </w:tcPr>
          <w:p>
            <w:pPr>
              <w:spacing w:line="360" w:lineRule="auto"/>
              <w:rPr>
                <w:rFonts w:hint="eastAsia" w:eastAsia="宋体"/>
                <w:b/>
                <w:bCs/>
                <w:sz w:val="24"/>
                <w:highlight w:val="none"/>
                <w:lang w:eastAsia="zh-CN"/>
              </w:rPr>
            </w:pPr>
            <w:r>
              <w:rPr>
                <w:b/>
                <w:bCs/>
                <w:sz w:val="24"/>
                <w:highlight w:val="none"/>
              </w:rPr>
              <w:t>工艺流程简述</w:t>
            </w:r>
            <w:r>
              <w:rPr>
                <w:rFonts w:hint="eastAsia"/>
                <w:b/>
                <w:bCs/>
                <w:sz w:val="24"/>
                <w:highlight w:val="none"/>
                <w:lang w:eastAsia="zh-CN"/>
              </w:rPr>
              <w:t>（</w:t>
            </w:r>
            <w:r>
              <w:rPr>
                <w:b/>
                <w:bCs/>
                <w:sz w:val="24"/>
                <w:highlight w:val="none"/>
              </w:rPr>
              <w:t>图示</w:t>
            </w:r>
            <w:r>
              <w:rPr>
                <w:rFonts w:hint="eastAsia"/>
                <w:b/>
                <w:bCs/>
                <w:sz w:val="24"/>
                <w:highlight w:val="none"/>
                <w:lang w:eastAsia="zh-CN"/>
              </w:rPr>
              <w:t>）</w:t>
            </w:r>
          </w:p>
          <w:p>
            <w:pPr>
              <w:pStyle w:val="46"/>
              <w:widowControl/>
              <w:ind w:rightChars="0" w:firstLine="0" w:firstLineChars="0"/>
              <w:rPr>
                <w:rFonts w:ascii="Times New Roman" w:hAnsi="Times New Roman"/>
                <w:b/>
                <w:highlight w:val="none"/>
              </w:rPr>
            </w:pPr>
            <w:r>
              <w:rPr>
                <w:highlight w:val="none"/>
              </w:rPr>
              <w:t xml:space="preserve"> </w:t>
            </w:r>
            <w:r>
              <w:rPr>
                <w:rFonts w:ascii="Times New Roman" w:hAnsi="Times New Roman"/>
                <w:b/>
                <w:highlight w:val="none"/>
              </w:rPr>
              <w:t>一、施工期工艺流程</w:t>
            </w:r>
          </w:p>
          <w:p>
            <w:pPr>
              <w:autoSpaceDE w:val="0"/>
              <w:autoSpaceDN w:val="0"/>
              <w:adjustRightInd w:val="0"/>
              <w:spacing w:line="480" w:lineRule="exact"/>
              <w:ind w:firstLine="480" w:firstLineChars="200"/>
              <w:jc w:val="left"/>
              <w:rPr>
                <w:rFonts w:hint="eastAsia" w:ascii="Times New Roman" w:hAnsi="Times New Roman" w:eastAsia="宋体" w:cs="Times New Roman"/>
                <w:sz w:val="24"/>
                <w:szCs w:val="22"/>
              </w:rPr>
            </w:pPr>
            <w:r>
              <w:rPr>
                <w:rFonts w:ascii="Times New Roman" w:hAnsi="Times New Roman" w:eastAsia="宋体" w:cs="Times New Roman"/>
                <w:sz w:val="24"/>
                <w:szCs w:val="22"/>
              </w:rPr>
              <w:t>本项目主要建设</w:t>
            </w:r>
            <w:r>
              <w:rPr>
                <w:rFonts w:hint="eastAsia" w:ascii="Times New Roman" w:hAnsi="Times New Roman" w:eastAsia="宋体" w:cs="Times New Roman"/>
                <w:sz w:val="24"/>
                <w:szCs w:val="22"/>
              </w:rPr>
              <w:t>内容为</w:t>
            </w:r>
            <w:r>
              <w:rPr>
                <w:rFonts w:ascii="Times New Roman" w:hAnsi="Times New Roman" w:eastAsia="宋体" w:cs="Times New Roman"/>
                <w:sz w:val="24"/>
                <w:szCs w:val="22"/>
              </w:rPr>
              <w:t>配套设施</w:t>
            </w:r>
            <w:r>
              <w:rPr>
                <w:rFonts w:hint="eastAsia" w:ascii="Times New Roman" w:hAnsi="Times New Roman" w:eastAsia="宋体" w:cs="Times New Roman"/>
                <w:sz w:val="24"/>
                <w:szCs w:val="22"/>
                <w:lang w:eastAsia="zh-CN"/>
              </w:rPr>
              <w:t>的安装</w:t>
            </w:r>
            <w:r>
              <w:rPr>
                <w:rFonts w:hint="eastAsia"/>
                <w:color w:val="auto"/>
                <w:kern w:val="0"/>
                <w:sz w:val="24"/>
                <w:highlight w:val="none"/>
              </w:rPr>
              <w:t>，随时工期结束噪声影响就会结束，不会对周围环境造成明显影响，因此本项目施工期对周围环境影响较小</w:t>
            </w:r>
            <w:r>
              <w:rPr>
                <w:rFonts w:hint="eastAsia" w:ascii="Times New Roman" w:hAnsi="Times New Roman" w:eastAsia="宋体" w:cs="Times New Roman"/>
                <w:sz w:val="24"/>
                <w:szCs w:val="22"/>
              </w:rPr>
              <w:t>。</w:t>
            </w:r>
          </w:p>
          <w:p>
            <w:pPr>
              <w:autoSpaceDE w:val="0"/>
              <w:autoSpaceDN w:val="0"/>
              <w:adjustRightInd w:val="0"/>
              <w:spacing w:line="480" w:lineRule="exact"/>
              <w:ind w:firstLine="482" w:firstLineChars="200"/>
              <w:jc w:val="left"/>
              <w:rPr>
                <w:rFonts w:hint="eastAsia" w:ascii="Times New Roman" w:hAnsi="Times New Roman" w:eastAsia="宋体" w:cs="Times New Roman"/>
                <w:sz w:val="24"/>
                <w:szCs w:val="22"/>
              </w:rPr>
            </w:pPr>
            <w:r>
              <w:rPr>
                <w:rFonts w:hint="eastAsia" w:ascii="Times New Roman" w:hAnsi="Times New Roman" w:eastAsia="宋体" w:cs="Times New Roman"/>
                <w:b/>
                <w:bCs/>
                <w:sz w:val="24"/>
                <w:szCs w:val="22"/>
              </w:rPr>
              <w:t>二、营运期工艺流程</w:t>
            </w:r>
          </w:p>
          <w:p>
            <w:pPr>
              <w:autoSpaceDE w:val="0"/>
              <w:autoSpaceDN w:val="0"/>
              <w:adjustRightInd w:val="0"/>
              <w:spacing w:line="480" w:lineRule="exact"/>
              <w:ind w:firstLine="480" w:firstLineChars="200"/>
              <w:jc w:val="left"/>
              <w:rPr>
                <w:rFonts w:hint="eastAsia"/>
                <w:color w:val="auto"/>
                <w:kern w:val="0"/>
                <w:sz w:val="24"/>
                <w:highlight w:val="none"/>
              </w:rPr>
            </w:pPr>
            <w:r>
              <w:rPr>
                <w:rFonts w:hint="eastAsia" w:ascii="Times New Roman" w:hAnsi="Times New Roman" w:eastAsia="宋体" w:cs="Times New Roman"/>
                <w:sz w:val="24"/>
                <w:szCs w:val="22"/>
              </w:rPr>
              <w:t xml:space="preserve"> （1）</w:t>
            </w:r>
            <w:r>
              <w:rPr>
                <w:rFonts w:hint="eastAsia"/>
                <w:kern w:val="0"/>
                <w:sz w:val="24"/>
                <w:highlight w:val="none"/>
                <w:lang w:eastAsia="zh-CN"/>
              </w:rPr>
              <w:t>热固复合聚苯乙烯泡沫保温板（聚合聚苯板）生产</w:t>
            </w:r>
            <w:r>
              <w:rPr>
                <w:rFonts w:hint="eastAsia"/>
                <w:color w:val="auto"/>
                <w:kern w:val="0"/>
                <w:sz w:val="24"/>
                <w:highlight w:val="none"/>
              </w:rPr>
              <w:t>工艺</w:t>
            </w:r>
          </w:p>
          <w:p>
            <w:pPr>
              <w:autoSpaceDE w:val="0"/>
              <w:autoSpaceDN w:val="0"/>
              <w:adjustRightInd w:val="0"/>
              <w:spacing w:line="480" w:lineRule="exact"/>
              <w:ind w:firstLine="480" w:firstLineChars="200"/>
              <w:jc w:val="left"/>
              <w:rPr>
                <w:rFonts w:hint="eastAsia" w:ascii="Times New Roman" w:hAnsi="Times New Roman" w:eastAsia="宋体" w:cs="Times New Roman"/>
                <w:sz w:val="24"/>
                <w:szCs w:val="22"/>
              </w:rPr>
            </w:pPr>
            <w:r>
              <w:rPr>
                <w:rFonts w:hint="eastAsia"/>
                <w:kern w:val="0"/>
                <w:sz w:val="24"/>
                <w:highlight w:val="none"/>
                <w:lang w:eastAsia="zh-CN"/>
              </w:rPr>
              <w:t>热固复合聚苯乙烯泡沫保温板（聚合聚苯板）</w:t>
            </w:r>
            <w:r>
              <w:rPr>
                <w:rFonts w:hint="eastAsia" w:ascii="Times New Roman" w:hAnsi="Times New Roman" w:eastAsia="宋体" w:cs="Times New Roman"/>
                <w:sz w:val="24"/>
                <w:szCs w:val="22"/>
              </w:rPr>
              <w:t>工艺流程及排污节点见图</w:t>
            </w:r>
            <w:r>
              <w:rPr>
                <w:rFonts w:hint="eastAsia" w:ascii="Times New Roman" w:hAnsi="Times New Roman" w:eastAsia="宋体" w:cs="Times New Roman"/>
                <w:sz w:val="24"/>
                <w:szCs w:val="22"/>
                <w:lang w:val="en-US" w:eastAsia="zh-CN"/>
              </w:rPr>
              <w:t>3</w:t>
            </w:r>
            <w:r>
              <w:rPr>
                <w:rFonts w:hint="eastAsia" w:ascii="Times New Roman" w:hAnsi="Times New Roman" w:eastAsia="宋体" w:cs="Times New Roman"/>
                <w:sz w:val="24"/>
                <w:szCs w:val="22"/>
              </w:rPr>
              <w:t>。</w:t>
            </w:r>
          </w:p>
          <w:p>
            <w:pPr>
              <w:spacing w:line="360" w:lineRule="auto"/>
              <w:ind w:firstLine="480" w:firstLineChars="200"/>
              <w:jc w:val="center"/>
              <w:rPr>
                <w:rFonts w:hint="eastAsia"/>
                <w:kern w:val="0"/>
                <w:sz w:val="24"/>
                <w:highlight w:val="none"/>
              </w:rPr>
            </w:pPr>
            <w:r>
              <w:rPr>
                <w:rFonts w:hint="eastAsia"/>
                <w:kern w:val="0"/>
                <w:sz w:val="24"/>
                <w:highlight w:val="none"/>
              </w:rPr>
              <w:pict>
                <v:shape id="_x0000_s2220" o:spid="_x0000_s2220" o:spt="75" type="#_x0000_t75" style="position:absolute;left:0pt;margin-left:9.5pt;margin-top:2.55pt;height:177pt;width:440.15pt;z-index:251661312;mso-width-relative:page;mso-height-relative:page;" o:ole="t" filled="f" o:preferrelative="t" stroked="f" coordsize="21600,21600">
                  <v:path/>
                  <v:fill on="f" focussize="0,0"/>
                  <v:stroke on="f"/>
                  <v:imagedata r:id="rId10" o:title=""/>
                  <o:lock v:ext="edit" aspectratio="f"/>
                </v:shape>
                <o:OLEObject Type="Embed" ProgID="" ShapeID="_x0000_s2220" DrawAspect="Content" ObjectID="_1468075726" r:id="rId9">
                  <o:LockedField>false</o:LockedField>
                </o:OLEObject>
              </w:pict>
            </w: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rPr>
                <w:rFonts w:hint="eastAsia"/>
                <w:kern w:val="0"/>
                <w:sz w:val="24"/>
                <w:highlight w:val="none"/>
              </w:rPr>
            </w:pPr>
          </w:p>
          <w:p>
            <w:pPr>
              <w:pStyle w:val="9"/>
              <w:ind w:left="0" w:leftChars="0" w:firstLine="0" w:firstLineChars="0"/>
              <w:rPr>
                <w:rFonts w:hint="eastAsia"/>
                <w:kern w:val="0"/>
                <w:sz w:val="24"/>
                <w:highlight w:val="none"/>
              </w:rPr>
            </w:pPr>
          </w:p>
          <w:p>
            <w:pPr>
              <w:pStyle w:val="9"/>
              <w:rPr>
                <w:rFonts w:hint="eastAsia"/>
                <w:kern w:val="0"/>
                <w:sz w:val="24"/>
                <w:highlight w:val="none"/>
              </w:rPr>
            </w:pPr>
          </w:p>
          <w:p>
            <w:pPr>
              <w:spacing w:line="360" w:lineRule="auto"/>
              <w:ind w:firstLine="482" w:firstLineChars="200"/>
              <w:jc w:val="center"/>
              <w:rPr>
                <w:b/>
                <w:bCs/>
                <w:sz w:val="24"/>
                <w:highlight w:val="none"/>
              </w:rPr>
            </w:pPr>
            <w:r>
              <w:rPr>
                <w:b/>
                <w:bCs/>
                <w:sz w:val="24"/>
                <w:highlight w:val="none"/>
              </w:rPr>
              <w:t>图</w:t>
            </w:r>
            <w:r>
              <w:rPr>
                <w:rFonts w:hint="eastAsia"/>
                <w:b/>
                <w:bCs/>
                <w:sz w:val="24"/>
                <w:highlight w:val="none"/>
                <w:lang w:val="en-US" w:eastAsia="zh-CN"/>
              </w:rPr>
              <w:t>2</w:t>
            </w:r>
            <w:r>
              <w:rPr>
                <w:b/>
                <w:bCs/>
                <w:sz w:val="24"/>
                <w:highlight w:val="none"/>
              </w:rPr>
              <w:t>工艺流程及排污节点图</w:t>
            </w:r>
          </w:p>
          <w:p>
            <w:pPr>
              <w:spacing w:line="360" w:lineRule="auto"/>
              <w:ind w:firstLine="482" w:firstLineChars="200"/>
              <w:rPr>
                <w:rFonts w:hint="eastAsia" w:hAnsi="宋体"/>
                <w:sz w:val="24"/>
                <w:highlight w:val="none"/>
              </w:rPr>
            </w:pPr>
            <w:r>
              <w:rPr>
                <w:b/>
                <w:bCs/>
                <w:sz w:val="24"/>
                <w:highlight w:val="none"/>
              </w:rPr>
              <w:t>工艺流程说明：</w:t>
            </w:r>
          </w:p>
          <w:p>
            <w:pPr>
              <w:spacing w:line="348" w:lineRule="auto"/>
              <w:ind w:firstLine="480" w:firstLineChars="200"/>
              <w:rPr>
                <w:rFonts w:hint="eastAsia" w:eastAsia="宋体"/>
                <w:sz w:val="24"/>
                <w:lang w:eastAsia="zh-CN"/>
              </w:rPr>
            </w:pPr>
            <w:r>
              <w:rPr>
                <w:rFonts w:hint="eastAsia" w:hAnsi="宋体"/>
                <w:sz w:val="24"/>
                <w:highlight w:val="none"/>
                <w:lang w:val="en-US" w:eastAsia="zh-CN"/>
              </w:rPr>
              <w:t>（1）发泡</w:t>
            </w:r>
            <w:r>
              <w:rPr>
                <w:rFonts w:ascii="Times New Roman" w:hAnsi="Times New Roman" w:eastAsia="宋体"/>
                <w:color w:val="auto"/>
                <w:sz w:val="24"/>
              </w:rPr>
              <w:t>：</w:t>
            </w:r>
            <w:r>
              <w:rPr>
                <w:rFonts w:hint="eastAsia" w:eastAsia="宋体"/>
                <w:sz w:val="24"/>
                <w:lang w:eastAsia="zh-CN"/>
              </w:rPr>
              <w:t>原材料</w:t>
            </w:r>
            <w:r>
              <w:rPr>
                <w:rFonts w:hint="eastAsia" w:eastAsia="宋体"/>
                <w:sz w:val="24"/>
                <w:lang w:val="en-US" w:eastAsia="zh-CN"/>
              </w:rPr>
              <w:t>EPS在发泡剂通入燃气锅炉产生的蒸汽加热进行发泡，加热温度约为75℃</w:t>
            </w:r>
            <w:r>
              <w:rPr>
                <w:rFonts w:hint="eastAsia" w:eastAsia="宋体"/>
                <w:sz w:val="24"/>
                <w:lang w:eastAsia="zh-CN"/>
              </w:rPr>
              <w:t>。</w:t>
            </w:r>
          </w:p>
          <w:p>
            <w:pPr>
              <w:spacing w:line="348" w:lineRule="auto"/>
              <w:ind w:firstLine="480" w:firstLineChars="200"/>
              <w:rPr>
                <w:rFonts w:hint="eastAsia" w:eastAsia="宋体"/>
                <w:sz w:val="24"/>
                <w:lang w:val="en-US" w:eastAsia="zh-CN"/>
              </w:rPr>
            </w:pPr>
            <w:r>
              <w:rPr>
                <w:rFonts w:hint="eastAsia" w:eastAsia="宋体"/>
                <w:sz w:val="24"/>
                <w:lang w:val="en-US" w:eastAsia="zh-CN"/>
              </w:rPr>
              <w:t>（2）打板：发泡后的原材料用打板机进行打板。</w:t>
            </w:r>
          </w:p>
          <w:p>
            <w:pPr>
              <w:spacing w:line="348" w:lineRule="auto"/>
              <w:ind w:firstLine="480" w:firstLineChars="200"/>
              <w:rPr>
                <w:rFonts w:hint="eastAsia" w:eastAsia="宋体"/>
                <w:sz w:val="24"/>
                <w:lang w:val="en-US" w:eastAsia="zh-CN"/>
              </w:rPr>
            </w:pPr>
            <w:r>
              <w:rPr>
                <w:rFonts w:hint="eastAsia" w:eastAsia="宋体"/>
                <w:sz w:val="24"/>
                <w:lang w:eastAsia="zh-CN"/>
              </w:rPr>
              <w:t>（</w:t>
            </w:r>
            <w:r>
              <w:rPr>
                <w:rFonts w:hint="eastAsia" w:eastAsia="宋体"/>
                <w:sz w:val="24"/>
                <w:lang w:val="en-US" w:eastAsia="zh-CN"/>
              </w:rPr>
              <w:t>3）养护</w:t>
            </w:r>
            <w:r>
              <w:rPr>
                <w:rFonts w:hint="eastAsia" w:eastAsia="宋体"/>
                <w:sz w:val="24"/>
                <w:lang w:eastAsia="zh-CN"/>
              </w:rPr>
              <w:t>：发泡后的物料送入烘干养护室进行养护，养护可以保证物料温度不低于室温</w:t>
            </w:r>
            <w:r>
              <w:rPr>
                <w:rFonts w:hint="eastAsia" w:eastAsia="宋体"/>
                <w:sz w:val="24"/>
                <w:lang w:val="en-US" w:eastAsia="zh-CN"/>
              </w:rPr>
              <w:t>。</w:t>
            </w:r>
          </w:p>
          <w:p>
            <w:pPr>
              <w:spacing w:line="348" w:lineRule="auto"/>
              <w:ind w:firstLine="480" w:firstLineChars="200"/>
              <w:rPr>
                <w:rFonts w:hint="eastAsia" w:eastAsia="宋体"/>
                <w:sz w:val="24"/>
                <w:lang w:val="en-US" w:eastAsia="zh-CN"/>
              </w:rPr>
            </w:pPr>
            <w:r>
              <w:rPr>
                <w:rFonts w:hint="eastAsia" w:eastAsia="宋体"/>
                <w:sz w:val="24"/>
                <w:lang w:val="en-US" w:eastAsia="zh-CN"/>
              </w:rPr>
              <w:t>（4）打浆：将原材料水和水泥送入渗透机进行打浆。</w:t>
            </w:r>
          </w:p>
          <w:p>
            <w:pPr>
              <w:spacing w:line="348" w:lineRule="auto"/>
              <w:ind w:firstLine="480" w:firstLineChars="200"/>
              <w:rPr>
                <w:rFonts w:hint="eastAsia" w:eastAsia="宋体"/>
                <w:sz w:val="24"/>
                <w:lang w:val="en-US" w:eastAsia="zh-CN"/>
              </w:rPr>
            </w:pPr>
            <w:r>
              <w:rPr>
                <w:rFonts w:hint="eastAsia" w:eastAsia="宋体"/>
                <w:sz w:val="24"/>
                <w:lang w:val="en-US" w:eastAsia="zh-CN"/>
              </w:rPr>
              <w:t>（5）注浆渗透：打浆后的物料经渗透机进行注浆渗透。</w:t>
            </w:r>
          </w:p>
          <w:p>
            <w:pPr>
              <w:spacing w:line="348" w:lineRule="auto"/>
              <w:ind w:firstLine="480" w:firstLineChars="200"/>
              <w:rPr>
                <w:rFonts w:hint="eastAsia" w:eastAsia="宋体"/>
                <w:sz w:val="24"/>
                <w:lang w:val="en-US" w:eastAsia="zh-CN"/>
              </w:rPr>
            </w:pPr>
            <w:r>
              <w:rPr>
                <w:rFonts w:hint="eastAsia" w:eastAsia="宋体"/>
                <w:sz w:val="24"/>
                <w:lang w:val="en-US" w:eastAsia="zh-CN"/>
              </w:rPr>
              <w:t>（6）晾干：注浆渗透后的热固复合聚苯乙烯泡沫保温板进行自然晾干。</w:t>
            </w:r>
          </w:p>
          <w:p>
            <w:pPr>
              <w:spacing w:line="348" w:lineRule="auto"/>
              <w:ind w:firstLine="480" w:firstLineChars="200"/>
              <w:rPr>
                <w:rFonts w:hint="eastAsia"/>
                <w:szCs w:val="22"/>
                <w:highlight w:val="none"/>
              </w:rPr>
            </w:pPr>
            <w:r>
              <w:rPr>
                <w:rFonts w:hint="eastAsia" w:eastAsia="宋体"/>
                <w:sz w:val="24"/>
                <w:lang w:val="en-US" w:eastAsia="zh-CN"/>
              </w:rPr>
              <w:t>（7）包装：晾干</w:t>
            </w:r>
            <w:r>
              <w:rPr>
                <w:rFonts w:hint="eastAsia" w:ascii="Times New Roman" w:hAnsi="Times New Roman" w:eastAsia="宋体"/>
                <w:color w:val="auto"/>
                <w:sz w:val="24"/>
                <w:lang w:val="en-US" w:eastAsia="zh-CN"/>
              </w:rPr>
              <w:t>后的</w:t>
            </w:r>
            <w:r>
              <w:rPr>
                <w:rFonts w:hint="eastAsia"/>
                <w:kern w:val="0"/>
                <w:sz w:val="24"/>
                <w:highlight w:val="none"/>
                <w:lang w:eastAsia="zh-CN"/>
              </w:rPr>
              <w:t>热固复合聚苯乙烯泡沫保温板包装入库</w:t>
            </w:r>
            <w:r>
              <w:rPr>
                <w:rFonts w:hint="eastAsia" w:ascii="Times New Roman" w:hAnsi="Times New Roman" w:eastAsia="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6" w:hRule="atLeast"/>
        </w:trPr>
        <w:tc>
          <w:tcPr>
            <w:tcW w:w="9024" w:type="dxa"/>
            <w:tcBorders>
              <w:top w:val="single" w:color="auto" w:sz="4" w:space="0"/>
              <w:bottom w:val="single" w:color="auto" w:sz="4" w:space="0"/>
            </w:tcBorders>
            <w:noWrap w:val="0"/>
            <w:vAlign w:val="top"/>
          </w:tcPr>
          <w:p>
            <w:pPr>
              <w:spacing w:line="360" w:lineRule="auto"/>
              <w:rPr>
                <w:b/>
                <w:bCs/>
                <w:sz w:val="24"/>
                <w:highlight w:val="none"/>
              </w:rPr>
            </w:pPr>
            <w:r>
              <w:rPr>
                <w:b/>
                <w:bCs/>
                <w:sz w:val="24"/>
                <w:highlight w:val="none"/>
              </w:rPr>
              <w:t>主要污染工序：</w:t>
            </w:r>
          </w:p>
          <w:p>
            <w:pPr>
              <w:spacing w:line="360" w:lineRule="auto"/>
              <w:ind w:firstLine="510"/>
              <w:rPr>
                <w:b/>
                <w:bCs/>
                <w:sz w:val="24"/>
                <w:highlight w:val="none"/>
              </w:rPr>
            </w:pPr>
            <w:r>
              <w:rPr>
                <w:b/>
                <w:bCs/>
                <w:sz w:val="24"/>
                <w:highlight w:val="none"/>
              </w:rPr>
              <w:t>一、施工期</w:t>
            </w:r>
          </w:p>
          <w:p>
            <w:pPr>
              <w:spacing w:line="360" w:lineRule="auto"/>
              <w:ind w:firstLine="480" w:firstLineChars="200"/>
              <w:rPr>
                <w:rFonts w:hint="eastAsia" w:hAnsi="宋体"/>
                <w:sz w:val="24"/>
                <w:highlight w:val="none"/>
                <w:lang w:val="en-US" w:eastAsia="zh-CN"/>
              </w:rPr>
            </w:pPr>
            <w:r>
              <w:rPr>
                <w:rFonts w:ascii="Times New Roman" w:hAnsi="Times New Roman" w:eastAsia="宋体" w:cs="Times New Roman"/>
                <w:sz w:val="24"/>
                <w:szCs w:val="22"/>
              </w:rPr>
              <w:t>本项目主要建设</w:t>
            </w:r>
            <w:r>
              <w:rPr>
                <w:rFonts w:hint="eastAsia" w:ascii="Times New Roman" w:hAnsi="Times New Roman" w:eastAsia="宋体" w:cs="Times New Roman"/>
                <w:sz w:val="24"/>
                <w:szCs w:val="22"/>
              </w:rPr>
              <w:t>内容为</w:t>
            </w:r>
            <w:r>
              <w:rPr>
                <w:rFonts w:ascii="Times New Roman" w:hAnsi="Times New Roman" w:eastAsia="宋体" w:cs="Times New Roman"/>
                <w:sz w:val="24"/>
                <w:szCs w:val="22"/>
              </w:rPr>
              <w:t>配套设施</w:t>
            </w:r>
            <w:r>
              <w:rPr>
                <w:rFonts w:hint="eastAsia" w:ascii="Times New Roman" w:hAnsi="Times New Roman" w:eastAsia="宋体" w:cs="Times New Roman"/>
                <w:sz w:val="24"/>
                <w:szCs w:val="22"/>
                <w:lang w:eastAsia="zh-CN"/>
              </w:rPr>
              <w:t>的安装，不存在土建等，主要为设备的安装和调试，时间较短，污染物产生较少，对周围环境影响较小。</w:t>
            </w:r>
          </w:p>
          <w:p>
            <w:pPr>
              <w:spacing w:line="348" w:lineRule="auto"/>
              <w:ind w:firstLine="482" w:firstLineChars="200"/>
              <w:rPr>
                <w:b/>
                <w:bCs/>
                <w:sz w:val="24"/>
                <w:highlight w:val="none"/>
              </w:rPr>
            </w:pPr>
            <w:r>
              <w:rPr>
                <w:b/>
                <w:bCs/>
                <w:sz w:val="24"/>
                <w:highlight w:val="none"/>
              </w:rPr>
              <w:t>二、营运期</w:t>
            </w:r>
          </w:p>
          <w:p>
            <w:pPr>
              <w:spacing w:line="348" w:lineRule="auto"/>
              <w:ind w:firstLine="480" w:firstLineChars="200"/>
              <w:rPr>
                <w:rFonts w:hint="eastAsia" w:hAnsi="宋体"/>
                <w:sz w:val="24"/>
                <w:highlight w:val="none"/>
              </w:rPr>
            </w:pPr>
            <w:r>
              <w:rPr>
                <w:sz w:val="24"/>
                <w:highlight w:val="none"/>
              </w:rPr>
              <w:t>1、废气</w:t>
            </w:r>
          </w:p>
          <w:p>
            <w:pPr>
              <w:spacing w:line="360" w:lineRule="auto"/>
              <w:ind w:firstLine="480" w:firstLineChars="200"/>
              <w:rPr>
                <w:rFonts w:hint="eastAsia" w:hAnsi="宋体"/>
                <w:sz w:val="24"/>
                <w:highlight w:val="none"/>
                <w:lang w:eastAsia="zh-CN"/>
              </w:rPr>
            </w:pPr>
            <w:r>
              <w:rPr>
                <w:rFonts w:hint="eastAsia" w:hAnsi="宋体"/>
                <w:sz w:val="24"/>
                <w:highlight w:val="none"/>
                <w:lang w:val="en-US" w:eastAsia="zh-CN"/>
              </w:rPr>
              <w:t>本项目营运期废气</w:t>
            </w:r>
            <w:r>
              <w:rPr>
                <w:rFonts w:hint="eastAsia" w:ascii="Times New Roman" w:hAnsi="Times New Roman" w:eastAsia="宋体" w:cs="宋体"/>
                <w:sz w:val="24"/>
                <w:szCs w:val="20"/>
              </w:rPr>
              <w:t>主要为</w:t>
            </w:r>
            <w:r>
              <w:rPr>
                <w:rFonts w:hint="eastAsia" w:ascii="Times New Roman" w:hAnsi="Times New Roman" w:eastAsia="宋体" w:cs="宋体"/>
                <w:sz w:val="24"/>
                <w:szCs w:val="20"/>
                <w:lang w:eastAsia="zh-CN"/>
              </w:rPr>
              <w:t>发泡、打板、切割过程产生的非甲烷总烃；燃气锅炉产生的</w:t>
            </w:r>
            <w:r>
              <w:rPr>
                <w:rFonts w:hint="eastAsia" w:ascii="Times New Roman" w:hAnsi="Times New Roman" w:eastAsia="宋体" w:cs="宋体"/>
                <w:sz w:val="24"/>
                <w:szCs w:val="20"/>
                <w:lang w:val="en-US" w:eastAsia="zh-CN"/>
              </w:rPr>
              <w:t>SO</w:t>
            </w:r>
            <w:r>
              <w:rPr>
                <w:rFonts w:hint="eastAsia" w:ascii="Times New Roman" w:hAnsi="Times New Roman" w:eastAsia="宋体" w:cs="宋体"/>
                <w:sz w:val="24"/>
                <w:szCs w:val="20"/>
                <w:vertAlign w:val="subscript"/>
                <w:lang w:val="en-US" w:eastAsia="zh-CN"/>
              </w:rPr>
              <w:t>2</w:t>
            </w:r>
            <w:r>
              <w:rPr>
                <w:rFonts w:hint="eastAsia" w:ascii="Times New Roman" w:hAnsi="Times New Roman" w:eastAsia="宋体" w:cs="宋体"/>
                <w:sz w:val="24"/>
                <w:szCs w:val="20"/>
                <w:lang w:val="en-US" w:eastAsia="zh-CN"/>
              </w:rPr>
              <w:t>、NO</w:t>
            </w:r>
            <w:r>
              <w:rPr>
                <w:rFonts w:hint="eastAsia" w:ascii="Times New Roman" w:hAnsi="Times New Roman" w:eastAsia="宋体" w:cs="宋体"/>
                <w:sz w:val="24"/>
                <w:szCs w:val="20"/>
                <w:vertAlign w:val="subscript"/>
                <w:lang w:val="en-US" w:eastAsia="zh-CN"/>
              </w:rPr>
              <w:t>X</w:t>
            </w:r>
            <w:r>
              <w:rPr>
                <w:rFonts w:hint="eastAsia" w:ascii="Times New Roman" w:hAnsi="Times New Roman" w:eastAsia="宋体" w:cs="宋体"/>
                <w:sz w:val="24"/>
                <w:szCs w:val="20"/>
                <w:lang w:val="en-US" w:eastAsia="zh-CN"/>
              </w:rPr>
              <w:t>、颗粒物；打浆过程产生的颗粒物</w:t>
            </w:r>
            <w:r>
              <w:rPr>
                <w:rFonts w:hint="eastAsia" w:hAnsi="宋体"/>
                <w:sz w:val="24"/>
                <w:highlight w:val="none"/>
                <w:lang w:eastAsia="zh-CN"/>
              </w:rPr>
              <w:t>。</w:t>
            </w:r>
          </w:p>
          <w:p>
            <w:pPr>
              <w:spacing w:line="348" w:lineRule="auto"/>
              <w:ind w:firstLine="480" w:firstLineChars="200"/>
              <w:rPr>
                <w:rFonts w:hint="eastAsia"/>
                <w:sz w:val="24"/>
                <w:highlight w:val="none"/>
              </w:rPr>
            </w:pPr>
            <w:r>
              <w:rPr>
                <w:rFonts w:hint="eastAsia" w:hAnsi="宋体"/>
                <w:sz w:val="24"/>
                <w:highlight w:val="none"/>
              </w:rPr>
              <w:t>2、废水</w:t>
            </w:r>
          </w:p>
          <w:p>
            <w:pPr>
              <w:spacing w:line="348" w:lineRule="auto"/>
              <w:ind w:firstLine="480" w:firstLineChars="200"/>
              <w:rPr>
                <w:rFonts w:hint="eastAsia" w:ascii="Times New Roman" w:hAnsi="Times New Roman" w:eastAsia="宋体" w:cs="宋体"/>
                <w:kern w:val="2"/>
                <w:sz w:val="24"/>
                <w:szCs w:val="20"/>
                <w:lang w:val="en-US" w:eastAsia="zh-CN" w:bidi="ar-SA"/>
              </w:rPr>
            </w:pPr>
            <w:r>
              <w:rPr>
                <w:rFonts w:hint="eastAsia"/>
                <w:sz w:val="24"/>
                <w:highlight w:val="none"/>
                <w:lang w:val="en-US" w:eastAsia="zh-CN"/>
              </w:rPr>
              <w:t>本项目废水主要为</w:t>
            </w:r>
            <w:r>
              <w:rPr>
                <w:rFonts w:hint="eastAsia"/>
                <w:bCs/>
                <w:sz w:val="24"/>
              </w:rPr>
              <w:t>职工生活废水</w:t>
            </w:r>
            <w:r>
              <w:rPr>
                <w:rFonts w:hint="eastAsia" w:ascii="Times New Roman" w:hAnsi="Times New Roman" w:eastAsia="宋体" w:cs="宋体"/>
                <w:kern w:val="2"/>
                <w:sz w:val="24"/>
                <w:szCs w:val="20"/>
                <w:lang w:val="en-US" w:eastAsia="zh-CN" w:bidi="ar-SA"/>
              </w:rPr>
              <w:t>。</w:t>
            </w:r>
          </w:p>
          <w:p>
            <w:pPr>
              <w:spacing w:line="348" w:lineRule="auto"/>
              <w:ind w:firstLine="480" w:firstLineChars="200"/>
              <w:rPr>
                <w:sz w:val="24"/>
                <w:highlight w:val="none"/>
              </w:rPr>
            </w:pPr>
            <w:r>
              <w:rPr>
                <w:sz w:val="24"/>
                <w:highlight w:val="none"/>
              </w:rPr>
              <w:t>3、噪声</w:t>
            </w:r>
          </w:p>
          <w:p>
            <w:pPr>
              <w:spacing w:line="360" w:lineRule="auto"/>
              <w:ind w:firstLine="480" w:firstLineChars="200"/>
              <w:jc w:val="left"/>
              <w:rPr>
                <w:rFonts w:hint="eastAsia" w:eastAsia="宋体"/>
                <w:sz w:val="24"/>
                <w:highlight w:val="none"/>
                <w:lang w:eastAsia="zh-CN"/>
              </w:rPr>
            </w:pPr>
            <w:r>
              <w:rPr>
                <w:rFonts w:hAnsi="宋体"/>
                <w:sz w:val="24"/>
                <w:highlight w:val="none"/>
              </w:rPr>
              <w:t>本项目主要噪声为主要为机器设备运行时产生的机械噪声</w:t>
            </w:r>
            <w:r>
              <w:rPr>
                <w:rFonts w:hint="eastAsia" w:hAnsi="宋体"/>
                <w:sz w:val="24"/>
                <w:highlight w:val="none"/>
              </w:rPr>
              <w:t>，</w:t>
            </w:r>
            <w:r>
              <w:rPr>
                <w:rFonts w:hint="eastAsia" w:hAnsi="宋体"/>
                <w:sz w:val="24"/>
                <w:highlight w:val="none"/>
                <w:lang w:eastAsia="zh-CN"/>
              </w:rPr>
              <w:t>源强</w:t>
            </w:r>
            <w:r>
              <w:rPr>
                <w:rFonts w:hint="eastAsia" w:hAnsi="宋体"/>
                <w:sz w:val="24"/>
                <w:highlight w:val="none"/>
                <w:lang w:val="en-US" w:eastAsia="zh-CN"/>
              </w:rPr>
              <w:t>7</w:t>
            </w:r>
            <w:r>
              <w:rPr>
                <w:rFonts w:hint="eastAsia" w:hAnsi="宋体"/>
                <w:sz w:val="24"/>
                <w:highlight w:val="none"/>
              </w:rPr>
              <w:t>5～</w:t>
            </w:r>
            <w:r>
              <w:rPr>
                <w:rFonts w:hint="eastAsia" w:hAnsi="宋体"/>
                <w:sz w:val="24"/>
                <w:highlight w:val="none"/>
                <w:lang w:val="en-US" w:eastAsia="zh-CN"/>
              </w:rPr>
              <w:t>92</w:t>
            </w:r>
            <w:r>
              <w:rPr>
                <w:rFonts w:hint="eastAsia" w:hAnsi="宋体"/>
                <w:sz w:val="24"/>
                <w:highlight w:val="none"/>
              </w:rPr>
              <w:t>dB（A）</w:t>
            </w:r>
            <w:r>
              <w:rPr>
                <w:rFonts w:hAnsi="宋体"/>
                <w:sz w:val="24"/>
                <w:highlight w:val="none"/>
              </w:rPr>
              <w:t>。</w:t>
            </w:r>
            <w:r>
              <w:rPr>
                <w:rFonts w:hint="eastAsia" w:hAnsi="宋体"/>
                <w:sz w:val="24"/>
                <w:highlight w:val="none"/>
              </w:rPr>
              <w:t>项目生产设备置于封闭车间内，</w:t>
            </w:r>
            <w:r>
              <w:rPr>
                <w:rFonts w:hint="eastAsia" w:hAnsi="宋体"/>
                <w:sz w:val="24"/>
                <w:highlight w:val="none"/>
                <w:lang w:eastAsia="zh-CN"/>
              </w:rPr>
              <w:t>设备</w:t>
            </w:r>
            <w:r>
              <w:rPr>
                <w:rFonts w:hint="eastAsia" w:hAnsi="宋体"/>
                <w:sz w:val="24"/>
                <w:highlight w:val="none"/>
              </w:rPr>
              <w:t>基础加装减震垫</w:t>
            </w:r>
            <w:r>
              <w:rPr>
                <w:rFonts w:hint="eastAsia" w:hAnsi="宋体"/>
                <w:sz w:val="24"/>
                <w:highlight w:val="none"/>
                <w:lang w:eastAsia="zh-CN"/>
              </w:rPr>
              <w:t>。</w:t>
            </w:r>
          </w:p>
          <w:p>
            <w:pPr>
              <w:spacing w:line="348" w:lineRule="auto"/>
              <w:ind w:firstLine="480" w:firstLineChars="200"/>
              <w:rPr>
                <w:sz w:val="24"/>
                <w:highlight w:val="none"/>
              </w:rPr>
            </w:pPr>
            <w:r>
              <w:rPr>
                <w:sz w:val="24"/>
                <w:highlight w:val="none"/>
              </w:rPr>
              <w:t>4、固体废物</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hAnsi="宋体"/>
                <w:color w:val="auto"/>
                <w:sz w:val="24"/>
                <w:highlight w:val="none"/>
                <w:lang w:eastAsia="zh-CN"/>
              </w:rPr>
            </w:pPr>
            <w:r>
              <w:rPr>
                <w:rFonts w:hint="eastAsia" w:ascii="Times New Roman" w:hAnsi="Times New Roman" w:cs="Times New Roman"/>
                <w:sz w:val="24"/>
                <w:lang w:eastAsia="zh-CN"/>
              </w:rPr>
              <w:t>切割产生的废边角料、活性炭吸附过程产生的废活性炭</w:t>
            </w:r>
            <w:r>
              <w:rPr>
                <w:bCs/>
                <w:sz w:val="24"/>
              </w:rPr>
              <w:t>以及少量生活垃圾</w:t>
            </w:r>
            <w:r>
              <w:rPr>
                <w:rFonts w:hint="eastAsia" w:hAnsi="宋体"/>
                <w:color w:val="auto"/>
                <w:sz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hAnsi="宋体"/>
                <w:color w:val="auto"/>
                <w:sz w:val="24"/>
                <w:highlight w:val="none"/>
                <w:lang w:val="en-US" w:eastAsia="zh-CN"/>
              </w:rPr>
            </w:pPr>
          </w:p>
          <w:p>
            <w:pPr>
              <w:pStyle w:val="9"/>
              <w:ind w:firstLine="480"/>
              <w:rPr>
                <w:sz w:val="24"/>
                <w:highlight w:val="none"/>
              </w:rPr>
            </w:pPr>
          </w:p>
          <w:p>
            <w:pPr>
              <w:pStyle w:val="9"/>
              <w:ind w:firstLine="480"/>
              <w:rPr>
                <w:sz w:val="24"/>
                <w:highlight w:val="none"/>
              </w:rPr>
            </w:pPr>
          </w:p>
          <w:p>
            <w:pPr>
              <w:pStyle w:val="9"/>
              <w:ind w:firstLine="480"/>
              <w:rPr>
                <w:sz w:val="24"/>
                <w:highlight w:val="none"/>
              </w:rPr>
            </w:pPr>
          </w:p>
          <w:p>
            <w:pPr>
              <w:pStyle w:val="9"/>
              <w:ind w:firstLine="480"/>
              <w:rPr>
                <w:sz w:val="24"/>
                <w:highlight w:val="none"/>
              </w:rPr>
            </w:pPr>
          </w:p>
          <w:p>
            <w:pPr>
              <w:pStyle w:val="9"/>
              <w:ind w:firstLine="480"/>
              <w:rPr>
                <w:sz w:val="24"/>
                <w:highlight w:val="none"/>
              </w:rPr>
            </w:pPr>
          </w:p>
          <w:p>
            <w:pPr>
              <w:spacing w:line="348" w:lineRule="auto"/>
              <w:rPr>
                <w:sz w:val="24"/>
                <w:highlight w:val="none"/>
              </w:rPr>
            </w:pPr>
          </w:p>
        </w:tc>
      </w:tr>
    </w:tbl>
    <w:p>
      <w:pPr>
        <w:tabs>
          <w:tab w:val="left" w:pos="720"/>
          <w:tab w:val="left" w:pos="3960"/>
        </w:tabs>
        <w:outlineLvl w:val="0"/>
        <w:rPr>
          <w:b/>
          <w:color w:val="000000"/>
          <w:sz w:val="32"/>
          <w:highlight w:val="none"/>
        </w:rPr>
      </w:pPr>
      <w:r>
        <w:rPr>
          <w:b/>
          <w:color w:val="000000"/>
          <w:sz w:val="32"/>
          <w:highlight w:val="none"/>
        </w:rPr>
        <w:br w:type="page"/>
      </w:r>
      <w:r>
        <w:rPr>
          <w:b/>
          <w:color w:val="000000"/>
          <w:sz w:val="32"/>
          <w:highlight w:val="none"/>
        </w:rPr>
        <w:t>项目主要污染物产生及预计排放情况</w:t>
      </w:r>
    </w:p>
    <w:tbl>
      <w:tblPr>
        <w:tblStyle w:val="37"/>
        <w:tblW w:w="908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9"/>
        <w:gridCol w:w="1550"/>
        <w:gridCol w:w="1415"/>
        <w:gridCol w:w="2574"/>
        <w:gridCol w:w="26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39" w:type="dxa"/>
            <w:tcBorders>
              <w:tl2br w:val="single" w:color="auto" w:sz="6" w:space="0"/>
            </w:tcBorders>
            <w:noWrap w:val="0"/>
            <w:vAlign w:val="center"/>
          </w:tcPr>
          <w:p>
            <w:pPr>
              <w:spacing w:line="400" w:lineRule="exact"/>
              <w:jc w:val="center"/>
              <w:rPr>
                <w:b/>
                <w:sz w:val="24"/>
                <w:highlight w:val="none"/>
              </w:rPr>
            </w:pPr>
            <w:r>
              <w:rPr>
                <w:b/>
                <w:sz w:val="24"/>
                <w:highlight w:val="none"/>
              </w:rPr>
              <w:t>内容</w:t>
            </w:r>
          </w:p>
          <w:p>
            <w:pPr>
              <w:spacing w:line="400" w:lineRule="exact"/>
              <w:jc w:val="center"/>
              <w:rPr>
                <w:b/>
                <w:sz w:val="24"/>
                <w:highlight w:val="none"/>
              </w:rPr>
            </w:pPr>
            <w:r>
              <w:rPr>
                <w:b/>
                <w:sz w:val="24"/>
                <w:highlight w:val="none"/>
              </w:rPr>
              <w:t>类型</w:t>
            </w:r>
          </w:p>
        </w:tc>
        <w:tc>
          <w:tcPr>
            <w:tcW w:w="1550" w:type="dxa"/>
            <w:noWrap w:val="0"/>
            <w:vAlign w:val="center"/>
          </w:tcPr>
          <w:p>
            <w:pPr>
              <w:spacing w:line="400" w:lineRule="exact"/>
              <w:jc w:val="center"/>
              <w:rPr>
                <w:b/>
                <w:sz w:val="24"/>
                <w:highlight w:val="none"/>
              </w:rPr>
            </w:pPr>
            <w:r>
              <w:rPr>
                <w:b/>
                <w:sz w:val="24"/>
                <w:highlight w:val="none"/>
              </w:rPr>
              <w:t>排放源</w:t>
            </w:r>
          </w:p>
          <w:p>
            <w:pPr>
              <w:spacing w:line="400" w:lineRule="exact"/>
              <w:jc w:val="center"/>
              <w:rPr>
                <w:rFonts w:hint="eastAsia" w:eastAsia="宋体"/>
                <w:b/>
                <w:sz w:val="24"/>
                <w:highlight w:val="none"/>
                <w:lang w:eastAsia="zh-CN"/>
              </w:rPr>
            </w:pPr>
            <w:r>
              <w:rPr>
                <w:rFonts w:hint="eastAsia"/>
                <w:b/>
                <w:sz w:val="24"/>
                <w:highlight w:val="none"/>
                <w:lang w:eastAsia="zh-CN"/>
              </w:rPr>
              <w:t>（</w:t>
            </w:r>
            <w:r>
              <w:rPr>
                <w:b/>
                <w:sz w:val="24"/>
                <w:highlight w:val="none"/>
              </w:rPr>
              <w:t>编号</w:t>
            </w:r>
            <w:r>
              <w:rPr>
                <w:rFonts w:hint="eastAsia"/>
                <w:b/>
                <w:sz w:val="24"/>
                <w:highlight w:val="none"/>
                <w:lang w:eastAsia="zh-CN"/>
              </w:rPr>
              <w:t>）</w:t>
            </w:r>
          </w:p>
        </w:tc>
        <w:tc>
          <w:tcPr>
            <w:tcW w:w="1415" w:type="dxa"/>
            <w:noWrap w:val="0"/>
            <w:vAlign w:val="center"/>
          </w:tcPr>
          <w:p>
            <w:pPr>
              <w:spacing w:line="400" w:lineRule="exact"/>
              <w:jc w:val="center"/>
              <w:rPr>
                <w:b/>
                <w:sz w:val="24"/>
                <w:highlight w:val="none"/>
              </w:rPr>
            </w:pPr>
            <w:r>
              <w:rPr>
                <w:b/>
                <w:sz w:val="24"/>
                <w:highlight w:val="none"/>
              </w:rPr>
              <w:t>污染物名称</w:t>
            </w:r>
          </w:p>
        </w:tc>
        <w:tc>
          <w:tcPr>
            <w:tcW w:w="2574" w:type="dxa"/>
            <w:noWrap w:val="0"/>
            <w:vAlign w:val="center"/>
          </w:tcPr>
          <w:p>
            <w:pPr>
              <w:spacing w:line="400" w:lineRule="exact"/>
              <w:jc w:val="center"/>
              <w:rPr>
                <w:rFonts w:hint="eastAsia" w:eastAsia="宋体"/>
                <w:b/>
                <w:sz w:val="24"/>
                <w:highlight w:val="none"/>
                <w:lang w:eastAsia="zh-CN"/>
              </w:rPr>
            </w:pPr>
            <w:r>
              <w:rPr>
                <w:b/>
                <w:sz w:val="24"/>
                <w:highlight w:val="none"/>
              </w:rPr>
              <w:t>处理前产生浓度及产生量</w:t>
            </w:r>
            <w:r>
              <w:rPr>
                <w:rFonts w:hint="eastAsia"/>
                <w:b/>
                <w:sz w:val="24"/>
                <w:highlight w:val="none"/>
                <w:lang w:eastAsia="zh-CN"/>
              </w:rPr>
              <w:t>（</w:t>
            </w:r>
            <w:r>
              <w:rPr>
                <w:b/>
                <w:sz w:val="24"/>
                <w:highlight w:val="none"/>
              </w:rPr>
              <w:t>单位</w:t>
            </w:r>
            <w:r>
              <w:rPr>
                <w:rFonts w:hint="eastAsia"/>
                <w:b/>
                <w:sz w:val="24"/>
                <w:highlight w:val="none"/>
                <w:lang w:eastAsia="zh-CN"/>
              </w:rPr>
              <w:t>）</w:t>
            </w:r>
          </w:p>
        </w:tc>
        <w:tc>
          <w:tcPr>
            <w:tcW w:w="2606" w:type="dxa"/>
            <w:noWrap w:val="0"/>
            <w:vAlign w:val="center"/>
          </w:tcPr>
          <w:p>
            <w:pPr>
              <w:spacing w:line="400" w:lineRule="exact"/>
              <w:jc w:val="center"/>
              <w:rPr>
                <w:b/>
                <w:sz w:val="24"/>
                <w:highlight w:val="none"/>
              </w:rPr>
            </w:pPr>
            <w:r>
              <w:rPr>
                <w:b/>
                <w:sz w:val="24"/>
                <w:highlight w:val="none"/>
              </w:rPr>
              <w:t xml:space="preserve"> 排放浓度及排放量</w:t>
            </w:r>
          </w:p>
          <w:p>
            <w:pPr>
              <w:spacing w:line="400" w:lineRule="exact"/>
              <w:jc w:val="center"/>
              <w:rPr>
                <w:rFonts w:hint="eastAsia" w:eastAsia="宋体"/>
                <w:b/>
                <w:sz w:val="24"/>
                <w:highlight w:val="none"/>
                <w:lang w:eastAsia="zh-CN"/>
              </w:rPr>
            </w:pPr>
            <w:r>
              <w:rPr>
                <w:rFonts w:hint="eastAsia"/>
                <w:b/>
                <w:sz w:val="24"/>
                <w:highlight w:val="none"/>
                <w:lang w:eastAsia="zh-CN"/>
              </w:rPr>
              <w:t>（</w:t>
            </w:r>
            <w:r>
              <w:rPr>
                <w:b/>
                <w:sz w:val="24"/>
                <w:highlight w:val="none"/>
              </w:rPr>
              <w:t>单位</w:t>
            </w:r>
            <w:r>
              <w:rPr>
                <w:rFonts w:hint="eastAsia"/>
                <w:b/>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 w:hRule="atLeast"/>
        </w:trPr>
        <w:tc>
          <w:tcPr>
            <w:tcW w:w="939" w:type="dxa"/>
            <w:vMerge w:val="restart"/>
            <w:noWrap w:val="0"/>
            <w:vAlign w:val="center"/>
          </w:tcPr>
          <w:p>
            <w:pPr>
              <w:jc w:val="center"/>
              <w:rPr>
                <w:sz w:val="24"/>
                <w:highlight w:val="none"/>
              </w:rPr>
            </w:pPr>
            <w:r>
              <w:rPr>
                <w:sz w:val="24"/>
                <w:highlight w:val="none"/>
              </w:rPr>
              <w:t>大</w:t>
            </w:r>
          </w:p>
          <w:p>
            <w:pPr>
              <w:jc w:val="center"/>
              <w:rPr>
                <w:sz w:val="24"/>
                <w:highlight w:val="none"/>
              </w:rPr>
            </w:pPr>
            <w:r>
              <w:rPr>
                <w:sz w:val="24"/>
                <w:highlight w:val="none"/>
              </w:rPr>
              <w:t>气</w:t>
            </w:r>
          </w:p>
          <w:p>
            <w:pPr>
              <w:jc w:val="center"/>
              <w:rPr>
                <w:sz w:val="24"/>
                <w:highlight w:val="none"/>
              </w:rPr>
            </w:pPr>
            <w:r>
              <w:rPr>
                <w:sz w:val="24"/>
                <w:highlight w:val="none"/>
              </w:rPr>
              <w:t>污</w:t>
            </w:r>
          </w:p>
          <w:p>
            <w:pPr>
              <w:jc w:val="center"/>
              <w:rPr>
                <w:sz w:val="24"/>
                <w:highlight w:val="none"/>
              </w:rPr>
            </w:pPr>
            <w:r>
              <w:rPr>
                <w:sz w:val="24"/>
                <w:highlight w:val="none"/>
              </w:rPr>
              <w:t>染</w:t>
            </w:r>
          </w:p>
          <w:p>
            <w:pPr>
              <w:jc w:val="center"/>
              <w:rPr>
                <w:sz w:val="24"/>
                <w:highlight w:val="none"/>
              </w:rPr>
            </w:pPr>
            <w:r>
              <w:rPr>
                <w:sz w:val="24"/>
                <w:highlight w:val="none"/>
              </w:rPr>
              <w:t>物</w:t>
            </w:r>
          </w:p>
        </w:tc>
        <w:tc>
          <w:tcPr>
            <w:tcW w:w="1550" w:type="dxa"/>
            <w:vMerge w:val="restart"/>
            <w:noWrap w:val="0"/>
            <w:vAlign w:val="center"/>
          </w:tcPr>
          <w:p>
            <w:pPr>
              <w:jc w:val="center"/>
              <w:rPr>
                <w:rFonts w:hint="eastAsia" w:eastAsia="宋体"/>
                <w:sz w:val="24"/>
                <w:szCs w:val="32"/>
                <w:highlight w:val="none"/>
                <w:lang w:eastAsia="zh-CN"/>
              </w:rPr>
            </w:pPr>
            <w:r>
              <w:rPr>
                <w:rFonts w:hint="eastAsia" w:ascii="Times New Roman" w:hAnsi="Times New Roman" w:eastAsia="宋体" w:cs="宋体"/>
                <w:sz w:val="24"/>
                <w:szCs w:val="20"/>
                <w:lang w:eastAsia="zh-CN"/>
              </w:rPr>
              <w:t>发泡、打板、切割</w:t>
            </w:r>
          </w:p>
        </w:tc>
        <w:tc>
          <w:tcPr>
            <w:tcW w:w="1415" w:type="dxa"/>
            <w:tcBorders>
              <w:bottom w:val="single" w:color="auto" w:sz="4" w:space="0"/>
            </w:tcBorders>
            <w:noWrap w:val="0"/>
            <w:vAlign w:val="center"/>
          </w:tcPr>
          <w:p>
            <w:pPr>
              <w:jc w:val="center"/>
              <w:rPr>
                <w:rFonts w:hint="eastAsia" w:eastAsia="宋体"/>
                <w:highlight w:val="none"/>
                <w:lang w:eastAsia="zh-CN"/>
              </w:rPr>
            </w:pPr>
            <w:r>
              <w:rPr>
                <w:rFonts w:hint="eastAsia" w:ascii="Times New Roman" w:hAnsi="Times New Roman" w:eastAsia="宋体" w:cs="Times New Roman"/>
                <w:color w:val="auto"/>
                <w:spacing w:val="6"/>
                <w:sz w:val="24"/>
                <w:lang w:eastAsia="zh-CN"/>
              </w:rPr>
              <w:t>有组织非甲烷总烃</w:t>
            </w:r>
          </w:p>
        </w:tc>
        <w:tc>
          <w:tcPr>
            <w:tcW w:w="2574" w:type="dxa"/>
            <w:tcBorders>
              <w:bottom w:val="single" w:color="auto" w:sz="4" w:space="0"/>
            </w:tcBorders>
            <w:noWrap w:val="0"/>
            <w:vAlign w:val="center"/>
          </w:tcPr>
          <w:p>
            <w:pPr>
              <w:pStyle w:val="40"/>
              <w:spacing w:line="360" w:lineRule="exact"/>
              <w:ind w:firstLine="0" w:firstLineChars="0"/>
              <w:jc w:val="center"/>
              <w:rPr>
                <w:color w:val="000000"/>
                <w:highlight w:val="none"/>
              </w:rPr>
            </w:pPr>
            <w:r>
              <w:rPr>
                <w:rFonts w:hint="eastAsia" w:ascii="Times New Roman" w:hAnsi="Times New Roman" w:eastAsia="宋体" w:cs="Times New Roman"/>
                <w:color w:val="auto"/>
                <w:highlight w:val="none"/>
                <w:lang w:val="en-US" w:eastAsia="zh-CN"/>
              </w:rPr>
              <w:t>93.75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，0.45</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pPr>
            <w:r>
              <w:rPr>
                <w:rFonts w:hint="eastAsia" w:ascii="Times New Roman" w:hAnsi="Times New Roman" w:eastAsia="宋体" w:cs="Times New Roman"/>
                <w:color w:val="auto"/>
                <w:highlight w:val="none"/>
                <w:lang w:val="en-US" w:eastAsia="zh-CN"/>
              </w:rPr>
              <w:t>0.9375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Times New Roman" w:eastAsia="宋体" w:cs="Times New Roman"/>
                <w:color w:val="auto"/>
                <w:highlight w:val="none"/>
                <w:lang w:val="en-US" w:eastAsia="zh-CN"/>
              </w:rPr>
              <w:t>，0.0045</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 w:hRule="atLeast"/>
        </w:trPr>
        <w:tc>
          <w:tcPr>
            <w:tcW w:w="939" w:type="dxa"/>
            <w:vMerge w:val="continue"/>
            <w:noWrap w:val="0"/>
            <w:vAlign w:val="center"/>
          </w:tcPr>
          <w:p>
            <w:pPr>
              <w:jc w:val="center"/>
              <w:rPr>
                <w:sz w:val="24"/>
                <w:highlight w:val="none"/>
              </w:rPr>
            </w:pPr>
          </w:p>
        </w:tc>
        <w:tc>
          <w:tcPr>
            <w:tcW w:w="1550" w:type="dxa"/>
            <w:vMerge w:val="continue"/>
            <w:noWrap w:val="0"/>
            <w:vAlign w:val="center"/>
          </w:tcPr>
          <w:p>
            <w:pPr>
              <w:jc w:val="center"/>
              <w:rPr>
                <w:rFonts w:hint="eastAsia" w:ascii="Times New Roman" w:hAnsi="Times New Roman" w:eastAsia="宋体" w:cs="宋体"/>
                <w:sz w:val="24"/>
                <w:szCs w:val="20"/>
                <w:lang w:eastAsia="zh-CN"/>
              </w:rPr>
            </w:pPr>
          </w:p>
        </w:tc>
        <w:tc>
          <w:tcPr>
            <w:tcW w:w="1415" w:type="dxa"/>
            <w:tcBorders>
              <w:bottom w:val="single" w:color="auto" w:sz="4" w:space="0"/>
            </w:tcBorders>
            <w:noWrap w:val="0"/>
            <w:vAlign w:val="center"/>
          </w:tcPr>
          <w:p>
            <w:pPr>
              <w:jc w:val="center"/>
              <w:rPr>
                <w:rFonts w:hint="eastAsia" w:ascii="Times New Roman" w:hAnsi="Times New Roman" w:eastAsia="宋体" w:cs="Times New Roman"/>
                <w:color w:val="auto"/>
                <w:spacing w:val="6"/>
                <w:sz w:val="24"/>
                <w:lang w:eastAsia="zh-CN"/>
              </w:rPr>
            </w:pPr>
            <w:r>
              <w:rPr>
                <w:rFonts w:hint="eastAsia" w:ascii="Times New Roman" w:hAnsi="Times New Roman" w:eastAsia="宋体" w:cs="Times New Roman"/>
                <w:color w:val="auto"/>
                <w:spacing w:val="6"/>
                <w:sz w:val="24"/>
                <w:lang w:eastAsia="zh-CN"/>
              </w:rPr>
              <w:t>无组织非甲烷总烃</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color w:val="auto"/>
                <w:szCs w:val="21"/>
                <w:highlight w:val="none"/>
              </w:rPr>
              <w:t>0.</w:t>
            </w:r>
            <w:r>
              <w:rPr>
                <w:rFonts w:hint="eastAsia"/>
                <w:color w:val="auto"/>
                <w:szCs w:val="21"/>
                <w:highlight w:val="none"/>
                <w:lang w:val="en-US" w:eastAsia="zh-CN"/>
              </w:rPr>
              <w:t>00316</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，0.02</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color w:val="auto"/>
                <w:szCs w:val="21"/>
                <w:highlight w:val="none"/>
              </w:rPr>
              <w:t>0.</w:t>
            </w:r>
            <w:r>
              <w:rPr>
                <w:rFonts w:hint="eastAsia"/>
                <w:color w:val="auto"/>
                <w:szCs w:val="21"/>
                <w:highlight w:val="none"/>
                <w:lang w:val="en-US" w:eastAsia="zh-CN"/>
              </w:rPr>
              <w:t>00316</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，0.02</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 w:hRule="atLeast"/>
        </w:trPr>
        <w:tc>
          <w:tcPr>
            <w:tcW w:w="939" w:type="dxa"/>
            <w:vMerge w:val="continue"/>
            <w:noWrap w:val="0"/>
            <w:vAlign w:val="center"/>
          </w:tcPr>
          <w:p>
            <w:pPr>
              <w:jc w:val="center"/>
              <w:rPr>
                <w:sz w:val="24"/>
                <w:highlight w:val="none"/>
              </w:rPr>
            </w:pPr>
          </w:p>
        </w:tc>
        <w:tc>
          <w:tcPr>
            <w:tcW w:w="1550" w:type="dxa"/>
            <w:vMerge w:val="restart"/>
            <w:noWrap w:val="0"/>
            <w:vAlign w:val="center"/>
          </w:tcPr>
          <w:p>
            <w:pPr>
              <w:jc w:val="center"/>
              <w:rPr>
                <w:rFonts w:hint="eastAsia" w:eastAsia="宋体"/>
                <w:sz w:val="24"/>
                <w:szCs w:val="32"/>
                <w:highlight w:val="none"/>
                <w:lang w:eastAsia="zh-CN"/>
              </w:rPr>
            </w:pPr>
            <w:r>
              <w:rPr>
                <w:rFonts w:hint="eastAsia" w:eastAsia="宋体"/>
                <w:sz w:val="24"/>
                <w:szCs w:val="32"/>
                <w:highlight w:val="none"/>
                <w:lang w:eastAsia="zh-CN"/>
              </w:rPr>
              <w:t>打浆</w:t>
            </w:r>
          </w:p>
        </w:tc>
        <w:tc>
          <w:tcPr>
            <w:tcW w:w="1415" w:type="dxa"/>
            <w:tcBorders>
              <w:bottom w:val="single" w:color="auto" w:sz="4" w:space="0"/>
            </w:tcBorders>
            <w:noWrap w:val="0"/>
            <w:vAlign w:val="center"/>
          </w:tcPr>
          <w:p>
            <w:pPr>
              <w:jc w:val="center"/>
              <w:rPr>
                <w:rFonts w:hint="eastAsia" w:ascii="Times New Roman" w:hAnsi="Times New Roman" w:eastAsia="宋体" w:cs="Times New Roman"/>
                <w:color w:val="auto"/>
                <w:spacing w:val="6"/>
                <w:sz w:val="24"/>
                <w:lang w:eastAsia="zh-CN"/>
              </w:rPr>
            </w:pPr>
            <w:r>
              <w:rPr>
                <w:rFonts w:hint="eastAsia" w:ascii="Times New Roman" w:hAnsi="Times New Roman" w:eastAsia="宋体" w:cs="Times New Roman"/>
                <w:color w:val="auto"/>
                <w:spacing w:val="6"/>
                <w:sz w:val="24"/>
                <w:lang w:eastAsia="zh-CN"/>
              </w:rPr>
              <w:t>有组织颗粒物</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18.75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，0.18</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1.875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Times New Roman" w:eastAsia="宋体" w:cs="Times New Roman"/>
                <w:color w:val="auto"/>
                <w:highlight w:val="none"/>
                <w:lang w:val="en-US" w:eastAsia="zh-CN"/>
              </w:rPr>
              <w:t>，0.018</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 w:hRule="atLeast"/>
        </w:trPr>
        <w:tc>
          <w:tcPr>
            <w:tcW w:w="939" w:type="dxa"/>
            <w:vMerge w:val="continue"/>
            <w:noWrap w:val="0"/>
            <w:vAlign w:val="center"/>
          </w:tcPr>
          <w:p>
            <w:pPr>
              <w:jc w:val="center"/>
              <w:rPr>
                <w:sz w:val="24"/>
                <w:highlight w:val="none"/>
              </w:rPr>
            </w:pPr>
          </w:p>
        </w:tc>
        <w:tc>
          <w:tcPr>
            <w:tcW w:w="1550" w:type="dxa"/>
            <w:vMerge w:val="continue"/>
            <w:noWrap w:val="0"/>
            <w:vAlign w:val="center"/>
          </w:tcPr>
          <w:p>
            <w:pPr>
              <w:jc w:val="center"/>
              <w:rPr>
                <w:rFonts w:hint="eastAsia" w:eastAsia="宋体"/>
                <w:sz w:val="24"/>
                <w:szCs w:val="32"/>
                <w:highlight w:val="none"/>
                <w:lang w:eastAsia="zh-CN"/>
              </w:rPr>
            </w:pPr>
          </w:p>
        </w:tc>
        <w:tc>
          <w:tcPr>
            <w:tcW w:w="1415" w:type="dxa"/>
            <w:tcBorders>
              <w:bottom w:val="single" w:color="auto" w:sz="4" w:space="0"/>
            </w:tcBorders>
            <w:noWrap w:val="0"/>
            <w:vAlign w:val="center"/>
          </w:tcPr>
          <w:p>
            <w:pPr>
              <w:jc w:val="center"/>
              <w:rPr>
                <w:rFonts w:hint="eastAsia" w:ascii="Times New Roman" w:hAnsi="Times New Roman" w:eastAsia="宋体" w:cs="Times New Roman"/>
                <w:color w:val="auto"/>
                <w:spacing w:val="6"/>
                <w:sz w:val="24"/>
                <w:lang w:eastAsia="zh-CN"/>
              </w:rPr>
            </w:pPr>
            <w:r>
              <w:rPr>
                <w:rFonts w:hint="eastAsia" w:ascii="Times New Roman" w:hAnsi="Times New Roman" w:eastAsia="宋体" w:cs="Times New Roman"/>
                <w:color w:val="auto"/>
                <w:spacing w:val="6"/>
                <w:sz w:val="24"/>
                <w:lang w:eastAsia="zh-CN"/>
              </w:rPr>
              <w:t>无组织颗粒物</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0.003</w:t>
            </w:r>
            <w:r>
              <w:rPr>
                <w:rFonts w:hint="eastAsia" w:ascii="Times New Roman" w:hAnsi="Times New Roman" w:eastAsia="宋体" w:cs="Times New Roman"/>
                <w:color w:val="auto"/>
                <w:highlight w:val="none"/>
                <w:lang w:val="en-US" w:eastAsia="zh-CN"/>
              </w:rPr>
              <w:t>78</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，0.05</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0.003</w:t>
            </w:r>
            <w:r>
              <w:rPr>
                <w:rFonts w:hint="eastAsia" w:ascii="Times New Roman" w:hAnsi="Times New Roman" w:eastAsia="宋体" w:cs="Times New Roman"/>
                <w:color w:val="auto"/>
                <w:highlight w:val="none"/>
                <w:lang w:val="en-US" w:eastAsia="zh-CN"/>
              </w:rPr>
              <w:t>78</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，0.05</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trPr>
        <w:tc>
          <w:tcPr>
            <w:tcW w:w="939" w:type="dxa"/>
            <w:vMerge w:val="continue"/>
            <w:noWrap w:val="0"/>
            <w:vAlign w:val="center"/>
          </w:tcPr>
          <w:p>
            <w:pPr>
              <w:jc w:val="center"/>
              <w:rPr>
                <w:sz w:val="24"/>
                <w:highlight w:val="none"/>
              </w:rPr>
            </w:pPr>
          </w:p>
        </w:tc>
        <w:tc>
          <w:tcPr>
            <w:tcW w:w="1550" w:type="dxa"/>
            <w:vMerge w:val="restart"/>
            <w:noWrap w:val="0"/>
            <w:vAlign w:val="center"/>
          </w:tcPr>
          <w:p>
            <w:pPr>
              <w:jc w:val="center"/>
              <w:rPr>
                <w:rFonts w:hint="eastAsia"/>
                <w:sz w:val="24"/>
                <w:szCs w:val="32"/>
                <w:highlight w:val="none"/>
                <w:lang w:eastAsia="zh-CN"/>
              </w:rPr>
            </w:pPr>
            <w:r>
              <w:rPr>
                <w:rFonts w:hint="eastAsia" w:ascii="Times New Roman" w:hAnsi="Times New Roman" w:eastAsia="宋体" w:cs="Times New Roman"/>
                <w:spacing w:val="6"/>
                <w:sz w:val="24"/>
                <w:lang w:eastAsia="zh-CN"/>
              </w:rPr>
              <w:t>锅炉</w:t>
            </w:r>
          </w:p>
        </w:tc>
        <w:tc>
          <w:tcPr>
            <w:tcW w:w="1415" w:type="dxa"/>
            <w:tcBorders>
              <w:bottom w:val="single" w:color="auto" w:sz="4" w:space="0"/>
            </w:tcBorders>
            <w:noWrap w:val="0"/>
            <w:vAlign w:val="center"/>
          </w:tcPr>
          <w:p>
            <w:pPr>
              <w:jc w:val="center"/>
              <w:rPr>
                <w:rFonts w:hint="eastAsia"/>
                <w:sz w:val="24"/>
                <w:szCs w:val="32"/>
                <w:highlight w:val="none"/>
                <w:lang w:eastAsia="zh-CN"/>
              </w:rPr>
            </w:pPr>
            <w:r>
              <w:rPr>
                <w:rFonts w:hint="eastAsia" w:ascii="Times New Roman" w:hAnsi="Times New Roman" w:eastAsia="宋体" w:cs="Times New Roman"/>
                <w:color w:val="auto"/>
                <w:spacing w:val="6"/>
                <w:sz w:val="24"/>
                <w:lang w:eastAsia="zh-CN"/>
              </w:rPr>
              <w:t>颗粒物</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bCs/>
                <w:sz w:val="24"/>
                <w:highlight w:val="none"/>
                <w:lang w:val="en-US" w:eastAsia="zh-CN"/>
              </w:rPr>
            </w:pPr>
            <w:r>
              <w:rPr>
                <w:rFonts w:hint="default" w:ascii="Times New Roman" w:hAnsi="Times New Roman" w:cs="Times New Roman"/>
                <w:color w:val="auto"/>
                <w:kern w:val="0"/>
                <w:szCs w:val="21"/>
              </w:rPr>
              <w:t>3.3</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0.002025</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pPr>
            <w:r>
              <w:rPr>
                <w:rFonts w:hint="default" w:ascii="Times New Roman" w:hAnsi="Times New Roman" w:cs="Times New Roman"/>
                <w:color w:val="auto"/>
                <w:kern w:val="0"/>
                <w:szCs w:val="21"/>
              </w:rPr>
              <w:t>3.3</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0.002025</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trPr>
        <w:tc>
          <w:tcPr>
            <w:tcW w:w="939" w:type="dxa"/>
            <w:vMerge w:val="continue"/>
            <w:noWrap w:val="0"/>
            <w:vAlign w:val="center"/>
          </w:tcPr>
          <w:p>
            <w:pPr>
              <w:jc w:val="center"/>
              <w:rPr>
                <w:sz w:val="24"/>
                <w:highlight w:val="none"/>
              </w:rPr>
            </w:pPr>
          </w:p>
        </w:tc>
        <w:tc>
          <w:tcPr>
            <w:tcW w:w="1550" w:type="dxa"/>
            <w:vMerge w:val="continue"/>
            <w:noWrap w:val="0"/>
            <w:vAlign w:val="center"/>
          </w:tcPr>
          <w:p>
            <w:pPr>
              <w:jc w:val="center"/>
              <w:rPr>
                <w:rFonts w:hint="eastAsia" w:ascii="Times New Roman" w:hAnsi="Times New Roman" w:eastAsia="宋体" w:cs="Times New Roman"/>
                <w:spacing w:val="6"/>
                <w:sz w:val="24"/>
                <w:lang w:eastAsia="zh-CN"/>
              </w:rPr>
            </w:pPr>
          </w:p>
        </w:tc>
        <w:tc>
          <w:tcPr>
            <w:tcW w:w="1415" w:type="dxa"/>
            <w:tcBorders>
              <w:bottom w:val="single" w:color="auto" w:sz="4" w:space="0"/>
            </w:tcBorders>
            <w:noWrap w:val="0"/>
            <w:vAlign w:val="center"/>
          </w:tcPr>
          <w:p>
            <w:pPr>
              <w:adjustRightInd w:val="0"/>
              <w:spacing w:line="290" w:lineRule="exact"/>
              <w:jc w:val="center"/>
              <w:textAlignment w:val="baseline"/>
              <w:rPr>
                <w:rFonts w:hint="eastAsia" w:ascii="Times New Roman" w:hAnsi="Times New Roman" w:eastAsia="宋体" w:cs="Times New Roman"/>
                <w:color w:val="auto"/>
                <w:spacing w:val="6"/>
                <w:sz w:val="24"/>
                <w:szCs w:val="24"/>
                <w:lang w:eastAsia="zh-CN"/>
              </w:rPr>
            </w:pPr>
            <w:r>
              <w:rPr>
                <w:kern w:val="0"/>
                <w:sz w:val="24"/>
                <w:szCs w:val="24"/>
              </w:rPr>
              <w:t>SO</w:t>
            </w:r>
            <w:r>
              <w:rPr>
                <w:kern w:val="0"/>
                <w:sz w:val="24"/>
                <w:szCs w:val="24"/>
                <w:vertAlign w:val="subscript"/>
              </w:rPr>
              <w:t>2</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kern w:val="0"/>
                <w:szCs w:val="21"/>
              </w:rPr>
              <w:t>8.8</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0.00576</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kern w:val="0"/>
                <w:szCs w:val="21"/>
              </w:rPr>
              <w:t>8.8</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0.00576</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trPr>
        <w:tc>
          <w:tcPr>
            <w:tcW w:w="939" w:type="dxa"/>
            <w:vMerge w:val="continue"/>
            <w:noWrap w:val="0"/>
            <w:vAlign w:val="center"/>
          </w:tcPr>
          <w:p>
            <w:pPr>
              <w:jc w:val="center"/>
              <w:rPr>
                <w:sz w:val="24"/>
                <w:highlight w:val="none"/>
              </w:rPr>
            </w:pPr>
          </w:p>
        </w:tc>
        <w:tc>
          <w:tcPr>
            <w:tcW w:w="1550" w:type="dxa"/>
            <w:vMerge w:val="continue"/>
            <w:noWrap w:val="0"/>
            <w:vAlign w:val="center"/>
          </w:tcPr>
          <w:p>
            <w:pPr>
              <w:jc w:val="center"/>
              <w:rPr>
                <w:rFonts w:hint="eastAsia" w:ascii="Times New Roman" w:hAnsi="Times New Roman" w:eastAsia="宋体" w:cs="Times New Roman"/>
                <w:spacing w:val="6"/>
                <w:sz w:val="24"/>
                <w:lang w:eastAsia="zh-CN"/>
              </w:rPr>
            </w:pPr>
          </w:p>
        </w:tc>
        <w:tc>
          <w:tcPr>
            <w:tcW w:w="1415" w:type="dxa"/>
            <w:tcBorders>
              <w:bottom w:val="single" w:color="auto" w:sz="4" w:space="0"/>
            </w:tcBorders>
            <w:noWrap w:val="0"/>
            <w:vAlign w:val="center"/>
          </w:tcPr>
          <w:p>
            <w:pPr>
              <w:adjustRightInd w:val="0"/>
              <w:spacing w:line="290" w:lineRule="exact"/>
              <w:jc w:val="center"/>
              <w:textAlignment w:val="baseline"/>
              <w:rPr>
                <w:rFonts w:hint="eastAsia" w:ascii="Times New Roman" w:hAnsi="Times New Roman" w:eastAsia="宋体" w:cs="Times New Roman"/>
                <w:color w:val="auto"/>
                <w:spacing w:val="6"/>
                <w:sz w:val="24"/>
                <w:szCs w:val="24"/>
                <w:lang w:eastAsia="zh-CN"/>
              </w:rPr>
            </w:pPr>
            <w:r>
              <w:rPr>
                <w:kern w:val="0"/>
                <w:sz w:val="24"/>
                <w:szCs w:val="24"/>
              </w:rPr>
              <w:t>NO</w:t>
            </w:r>
            <w:r>
              <w:rPr>
                <w:kern w:val="0"/>
                <w:sz w:val="24"/>
                <w:szCs w:val="24"/>
                <w:vertAlign w:val="subscript"/>
              </w:rPr>
              <w:t>x</w:t>
            </w:r>
          </w:p>
        </w:tc>
        <w:tc>
          <w:tcPr>
            <w:tcW w:w="2574"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kern w:val="0"/>
                <w:szCs w:val="21"/>
                <w:lang w:val="en-US" w:eastAsia="zh-CN"/>
              </w:rPr>
              <w:t>29.35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0.0196</w:t>
            </w:r>
            <w:r>
              <w:rPr>
                <w:rFonts w:ascii="Times New Roman" w:hAnsi="Times New Roman" w:eastAsia="宋体" w:cs="Times New Roman"/>
                <w:color w:val="auto"/>
                <w:highlight w:val="none"/>
              </w:rPr>
              <w:t>t/a</w:t>
            </w:r>
          </w:p>
        </w:tc>
        <w:tc>
          <w:tcPr>
            <w:tcW w:w="2606" w:type="dxa"/>
            <w:tcBorders>
              <w:bottom w:val="single" w:color="auto" w:sz="4" w:space="0"/>
            </w:tcBorders>
            <w:noWrap w:val="0"/>
            <w:vAlign w:val="center"/>
          </w:tcPr>
          <w:p>
            <w:pPr>
              <w:pStyle w:val="40"/>
              <w:spacing w:line="360" w:lineRule="exact"/>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kern w:val="0"/>
                <w:szCs w:val="21"/>
                <w:lang w:val="en-US" w:eastAsia="zh-CN"/>
              </w:rPr>
              <w:t>29.35</w:t>
            </w:r>
            <w:r>
              <w:rPr>
                <w:rFonts w:ascii="Times New Roman" w:hAnsi="Times New Roman" w:eastAsia="宋体" w:cs="Times New Roman"/>
                <w:color w:val="auto"/>
                <w:highlight w:val="none"/>
              </w:rPr>
              <w:t>mg/m</w:t>
            </w:r>
            <w:r>
              <w:rPr>
                <w:rFonts w:ascii="Times New Roman" w:hAnsi="Times New Roman" w:eastAsia="宋体" w:cs="Times New Roman"/>
                <w:color w:val="auto"/>
                <w:highlight w:val="none"/>
                <w:vertAlign w:val="superscript"/>
              </w:rPr>
              <w:t>3</w:t>
            </w:r>
            <w:r>
              <w:rPr>
                <w:rFonts w:hint="eastAsia" w:ascii="Times New Roman" w:hAnsi="宋体" w:eastAsia="宋体" w:cs="Times New Roman"/>
                <w:color w:val="auto"/>
                <w:highlight w:val="none"/>
                <w:lang w:val="en-US" w:eastAsia="zh-CN"/>
              </w:rPr>
              <w:t>，</w:t>
            </w:r>
            <w:r>
              <w:rPr>
                <w:rFonts w:hint="default" w:ascii="Times New Roman" w:hAnsi="Times New Roman" w:cs="Times New Roman"/>
                <w:color w:val="auto"/>
                <w:kern w:val="0"/>
                <w:szCs w:val="21"/>
              </w:rPr>
              <w:t>0.0196</w:t>
            </w:r>
            <w:r>
              <w:rPr>
                <w:rFonts w:ascii="Times New Roman" w:hAnsi="Times New Roman" w:eastAsia="宋体" w:cs="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939" w:type="dxa"/>
            <w:vMerge w:val="restart"/>
            <w:noWrap w:val="0"/>
            <w:vAlign w:val="center"/>
          </w:tcPr>
          <w:p>
            <w:pPr>
              <w:jc w:val="center"/>
              <w:rPr>
                <w:sz w:val="24"/>
                <w:highlight w:val="none"/>
              </w:rPr>
            </w:pPr>
            <w:r>
              <w:rPr>
                <w:sz w:val="24"/>
                <w:highlight w:val="none"/>
              </w:rPr>
              <w:t>水</w:t>
            </w:r>
          </w:p>
          <w:p>
            <w:pPr>
              <w:jc w:val="center"/>
              <w:rPr>
                <w:sz w:val="24"/>
                <w:highlight w:val="none"/>
              </w:rPr>
            </w:pPr>
            <w:r>
              <w:rPr>
                <w:sz w:val="24"/>
                <w:highlight w:val="none"/>
              </w:rPr>
              <w:t>污</w:t>
            </w:r>
          </w:p>
          <w:p>
            <w:pPr>
              <w:jc w:val="center"/>
              <w:rPr>
                <w:sz w:val="24"/>
                <w:highlight w:val="none"/>
              </w:rPr>
            </w:pPr>
            <w:r>
              <w:rPr>
                <w:sz w:val="24"/>
                <w:highlight w:val="none"/>
              </w:rPr>
              <w:t>染</w:t>
            </w:r>
          </w:p>
          <w:p>
            <w:pPr>
              <w:jc w:val="center"/>
              <w:rPr>
                <w:sz w:val="24"/>
                <w:highlight w:val="none"/>
              </w:rPr>
            </w:pPr>
            <w:r>
              <w:rPr>
                <w:sz w:val="24"/>
                <w:highlight w:val="none"/>
              </w:rPr>
              <w:t>物</w:t>
            </w:r>
          </w:p>
        </w:tc>
        <w:tc>
          <w:tcPr>
            <w:tcW w:w="1550" w:type="dxa"/>
            <w:vMerge w:val="restart"/>
            <w:noWrap w:val="0"/>
            <w:vAlign w:val="center"/>
          </w:tcPr>
          <w:p>
            <w:pPr>
              <w:adjustRightInd w:val="0"/>
              <w:snapToGrid w:val="0"/>
              <w:jc w:val="center"/>
              <w:rPr>
                <w:sz w:val="24"/>
                <w:highlight w:val="none"/>
              </w:rPr>
            </w:pPr>
            <w:r>
              <w:rPr>
                <w:rFonts w:hint="eastAsia" w:ascii="Times New Roman" w:hAnsi="Times New Roman" w:eastAsia="宋体" w:cs="Times New Roman"/>
                <w:spacing w:val="6"/>
                <w:sz w:val="24"/>
                <w:lang w:eastAsia="zh-CN"/>
              </w:rPr>
              <w:t>职工生活</w:t>
            </w:r>
          </w:p>
        </w:tc>
        <w:tc>
          <w:tcPr>
            <w:tcW w:w="1415" w:type="dxa"/>
            <w:noWrap w:val="0"/>
            <w:vAlign w:val="center"/>
          </w:tcPr>
          <w:p>
            <w:pPr>
              <w:adjustRightInd w:val="0"/>
              <w:snapToGrid w:val="0"/>
              <w:jc w:val="center"/>
              <w:rPr>
                <w:rFonts w:hint="eastAsia"/>
                <w:color w:val="000000"/>
                <w:sz w:val="24"/>
                <w:highlight w:val="none"/>
              </w:rPr>
            </w:pPr>
            <w:r>
              <w:rPr>
                <w:color w:val="auto"/>
                <w:sz w:val="24"/>
                <w:highlight w:val="none"/>
              </w:rPr>
              <w:t>COD</w:t>
            </w:r>
          </w:p>
        </w:tc>
        <w:tc>
          <w:tcPr>
            <w:tcW w:w="2574" w:type="dxa"/>
            <w:noWrap w:val="0"/>
            <w:vAlign w:val="center"/>
          </w:tcPr>
          <w:p>
            <w:pPr>
              <w:adjustRightInd w:val="0"/>
              <w:snapToGrid w:val="0"/>
              <w:jc w:val="center"/>
              <w:rPr>
                <w:rFonts w:hint="eastAsia" w:eastAsia="宋体"/>
                <w:color w:val="000000"/>
                <w:sz w:val="24"/>
                <w:highlight w:val="none"/>
                <w:lang w:eastAsia="zh-CN"/>
              </w:rPr>
            </w:pPr>
            <w:r>
              <w:rPr>
                <w:color w:val="000000"/>
                <w:sz w:val="24"/>
                <w:highlight w:val="none"/>
              </w:rPr>
              <w:t>300mg/L，0.0</w:t>
            </w:r>
            <w:r>
              <w:rPr>
                <w:rFonts w:hint="eastAsia"/>
                <w:color w:val="000000"/>
                <w:sz w:val="24"/>
                <w:highlight w:val="none"/>
                <w:lang w:val="en-US" w:eastAsia="zh-CN"/>
              </w:rPr>
              <w:t>086</w:t>
            </w:r>
            <w:r>
              <w:rPr>
                <w:color w:val="000000"/>
                <w:sz w:val="24"/>
                <w:highlight w:val="none"/>
              </w:rPr>
              <w:t>t/a</w:t>
            </w:r>
          </w:p>
        </w:tc>
        <w:tc>
          <w:tcPr>
            <w:tcW w:w="2606" w:type="dxa"/>
            <w:vMerge w:val="restart"/>
            <w:noWrap w:val="0"/>
            <w:vAlign w:val="center"/>
          </w:tcPr>
          <w:p>
            <w:pPr>
              <w:spacing w:line="400" w:lineRule="exact"/>
              <w:jc w:val="center"/>
              <w:rPr>
                <w:rFonts w:hint="eastAsia"/>
                <w:color w:val="000000"/>
                <w:sz w:val="24"/>
                <w:highlight w:val="none"/>
              </w:rPr>
            </w:pPr>
            <w:r>
              <w:rPr>
                <w:sz w:val="24"/>
              </w:rPr>
              <w:t>0</w:t>
            </w:r>
            <w:r>
              <w:rPr>
                <w:rFonts w:hint="eastAsia"/>
                <w:color w:val="auto"/>
                <w:sz w:val="24"/>
                <w:highlight w:val="none"/>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939" w:type="dxa"/>
            <w:vMerge w:val="continue"/>
            <w:noWrap w:val="0"/>
            <w:vAlign w:val="center"/>
          </w:tcPr>
          <w:p>
            <w:pPr>
              <w:adjustRightInd w:val="0"/>
              <w:snapToGrid w:val="0"/>
              <w:jc w:val="center"/>
            </w:pPr>
          </w:p>
        </w:tc>
        <w:tc>
          <w:tcPr>
            <w:tcW w:w="1550" w:type="dxa"/>
            <w:vMerge w:val="continue"/>
            <w:noWrap w:val="0"/>
            <w:vAlign w:val="center"/>
          </w:tcPr>
          <w:p>
            <w:pPr>
              <w:adjustRightInd w:val="0"/>
              <w:snapToGrid w:val="0"/>
              <w:jc w:val="center"/>
            </w:pPr>
          </w:p>
        </w:tc>
        <w:tc>
          <w:tcPr>
            <w:tcW w:w="1415" w:type="dxa"/>
            <w:noWrap w:val="0"/>
            <w:vAlign w:val="center"/>
          </w:tcPr>
          <w:p>
            <w:pPr>
              <w:adjustRightInd w:val="0"/>
              <w:snapToGrid w:val="0"/>
              <w:jc w:val="center"/>
              <w:rPr>
                <w:color w:val="000000"/>
                <w:sz w:val="24"/>
                <w:highlight w:val="none"/>
              </w:rPr>
            </w:pPr>
            <w:r>
              <w:rPr>
                <w:color w:val="auto"/>
                <w:sz w:val="24"/>
                <w:highlight w:val="none"/>
              </w:rPr>
              <w:t>SS</w:t>
            </w:r>
          </w:p>
        </w:tc>
        <w:tc>
          <w:tcPr>
            <w:tcW w:w="2574" w:type="dxa"/>
            <w:noWrap w:val="0"/>
            <w:vAlign w:val="center"/>
          </w:tcPr>
          <w:p>
            <w:pPr>
              <w:adjustRightInd w:val="0"/>
              <w:snapToGrid w:val="0"/>
              <w:jc w:val="center"/>
              <w:rPr>
                <w:color w:val="000000"/>
                <w:sz w:val="24"/>
                <w:highlight w:val="none"/>
              </w:rPr>
            </w:pPr>
            <w:r>
              <w:rPr>
                <w:color w:val="000000"/>
                <w:sz w:val="24"/>
                <w:highlight w:val="none"/>
              </w:rPr>
              <w:t>200mg/L，0.0</w:t>
            </w:r>
            <w:r>
              <w:rPr>
                <w:rFonts w:hint="eastAsia"/>
                <w:color w:val="000000"/>
                <w:sz w:val="24"/>
                <w:highlight w:val="none"/>
                <w:lang w:val="en-US" w:eastAsia="zh-CN"/>
              </w:rPr>
              <w:t>058</w:t>
            </w:r>
            <w:r>
              <w:rPr>
                <w:color w:val="000000"/>
                <w:sz w:val="24"/>
                <w:highlight w:val="none"/>
              </w:rPr>
              <w:t>t/a</w:t>
            </w:r>
          </w:p>
        </w:tc>
        <w:tc>
          <w:tcPr>
            <w:tcW w:w="2606" w:type="dxa"/>
            <w:vMerge w:val="continue"/>
            <w:noWrap w:val="0"/>
            <w:vAlign w:val="center"/>
          </w:tcPr>
          <w:p>
            <w:pPr>
              <w:adjustRightInd w:val="0"/>
              <w:snapToGrid w:val="0"/>
              <w:jc w:val="center"/>
              <w:rPr>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939" w:type="dxa"/>
            <w:vMerge w:val="continue"/>
            <w:noWrap w:val="0"/>
            <w:vAlign w:val="center"/>
          </w:tcPr>
          <w:p>
            <w:pPr>
              <w:adjustRightInd w:val="0"/>
              <w:snapToGrid w:val="0"/>
              <w:jc w:val="center"/>
              <w:rPr>
                <w:color w:val="000000"/>
                <w:sz w:val="24"/>
                <w:highlight w:val="none"/>
              </w:rPr>
            </w:pPr>
          </w:p>
        </w:tc>
        <w:tc>
          <w:tcPr>
            <w:tcW w:w="1550" w:type="dxa"/>
            <w:vMerge w:val="continue"/>
            <w:noWrap w:val="0"/>
            <w:vAlign w:val="center"/>
          </w:tcPr>
          <w:p>
            <w:pPr>
              <w:adjustRightInd w:val="0"/>
              <w:snapToGrid w:val="0"/>
              <w:jc w:val="center"/>
              <w:rPr>
                <w:color w:val="000000"/>
                <w:sz w:val="24"/>
                <w:highlight w:val="none"/>
              </w:rPr>
            </w:pPr>
          </w:p>
        </w:tc>
        <w:tc>
          <w:tcPr>
            <w:tcW w:w="1415" w:type="dxa"/>
            <w:noWrap w:val="0"/>
            <w:vAlign w:val="center"/>
          </w:tcPr>
          <w:p>
            <w:pPr>
              <w:adjustRightInd w:val="0"/>
              <w:snapToGrid w:val="0"/>
              <w:jc w:val="center"/>
              <w:rPr>
                <w:color w:val="000000"/>
                <w:sz w:val="24"/>
                <w:highlight w:val="none"/>
              </w:rPr>
            </w:pPr>
            <w:r>
              <w:rPr>
                <w:color w:val="auto"/>
                <w:sz w:val="24"/>
                <w:highlight w:val="none"/>
              </w:rPr>
              <w:t>NH</w:t>
            </w:r>
            <w:r>
              <w:rPr>
                <w:color w:val="auto"/>
                <w:sz w:val="24"/>
                <w:highlight w:val="none"/>
                <w:vertAlign w:val="subscript"/>
              </w:rPr>
              <w:t>3</w:t>
            </w:r>
            <w:r>
              <w:rPr>
                <w:color w:val="auto"/>
                <w:sz w:val="24"/>
                <w:highlight w:val="none"/>
              </w:rPr>
              <w:t>-N</w:t>
            </w:r>
          </w:p>
        </w:tc>
        <w:tc>
          <w:tcPr>
            <w:tcW w:w="2574" w:type="dxa"/>
            <w:noWrap w:val="0"/>
            <w:vAlign w:val="center"/>
          </w:tcPr>
          <w:p>
            <w:pPr>
              <w:adjustRightInd w:val="0"/>
              <w:snapToGrid w:val="0"/>
              <w:jc w:val="center"/>
              <w:rPr>
                <w:color w:val="000000"/>
                <w:sz w:val="24"/>
                <w:highlight w:val="none"/>
              </w:rPr>
            </w:pPr>
            <w:r>
              <w:rPr>
                <w:color w:val="000000"/>
                <w:sz w:val="24"/>
                <w:highlight w:val="none"/>
              </w:rPr>
              <w:t>30mg/L，0.00</w:t>
            </w:r>
            <w:r>
              <w:rPr>
                <w:rFonts w:hint="eastAsia"/>
                <w:color w:val="000000"/>
                <w:sz w:val="24"/>
                <w:highlight w:val="none"/>
                <w:lang w:val="en-US" w:eastAsia="zh-CN"/>
              </w:rPr>
              <w:t>086</w:t>
            </w:r>
            <w:r>
              <w:rPr>
                <w:color w:val="000000"/>
                <w:sz w:val="24"/>
                <w:highlight w:val="none"/>
              </w:rPr>
              <w:t>t/a</w:t>
            </w:r>
          </w:p>
        </w:tc>
        <w:tc>
          <w:tcPr>
            <w:tcW w:w="2606" w:type="dxa"/>
            <w:vMerge w:val="continue"/>
            <w:noWrap w:val="0"/>
            <w:vAlign w:val="center"/>
          </w:tcPr>
          <w:p>
            <w:pPr>
              <w:adjustRightInd w:val="0"/>
              <w:snapToGrid w:val="0"/>
              <w:jc w:val="center"/>
              <w:rPr>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939" w:type="dxa"/>
            <w:vMerge w:val="continue"/>
            <w:noWrap w:val="0"/>
            <w:vAlign w:val="center"/>
          </w:tcPr>
          <w:p>
            <w:pPr>
              <w:adjustRightInd w:val="0"/>
              <w:snapToGrid w:val="0"/>
              <w:jc w:val="center"/>
              <w:rPr>
                <w:color w:val="000000"/>
                <w:sz w:val="24"/>
                <w:highlight w:val="none"/>
              </w:rPr>
            </w:pPr>
          </w:p>
        </w:tc>
        <w:tc>
          <w:tcPr>
            <w:tcW w:w="1550" w:type="dxa"/>
            <w:vMerge w:val="continue"/>
            <w:noWrap w:val="0"/>
            <w:vAlign w:val="center"/>
          </w:tcPr>
          <w:p>
            <w:pPr>
              <w:adjustRightInd w:val="0"/>
              <w:snapToGrid w:val="0"/>
              <w:jc w:val="center"/>
              <w:rPr>
                <w:color w:val="000000"/>
                <w:sz w:val="24"/>
                <w:highlight w:val="none"/>
              </w:rPr>
            </w:pPr>
          </w:p>
        </w:tc>
        <w:tc>
          <w:tcPr>
            <w:tcW w:w="1415" w:type="dxa"/>
            <w:noWrap w:val="0"/>
            <w:vAlign w:val="center"/>
          </w:tcPr>
          <w:p>
            <w:pPr>
              <w:adjustRightInd w:val="0"/>
              <w:snapToGrid w:val="0"/>
              <w:jc w:val="center"/>
              <w:rPr>
                <w:color w:val="000000"/>
                <w:sz w:val="24"/>
                <w:highlight w:val="none"/>
              </w:rPr>
            </w:pPr>
            <w:r>
              <w:rPr>
                <w:rFonts w:hint="eastAsia"/>
                <w:color w:val="auto"/>
                <w:sz w:val="24"/>
                <w:highlight w:val="none"/>
              </w:rPr>
              <w:t>总氮</w:t>
            </w:r>
          </w:p>
        </w:tc>
        <w:tc>
          <w:tcPr>
            <w:tcW w:w="2574" w:type="dxa"/>
            <w:noWrap w:val="0"/>
            <w:vAlign w:val="center"/>
          </w:tcPr>
          <w:p>
            <w:pPr>
              <w:adjustRightInd w:val="0"/>
              <w:snapToGrid w:val="0"/>
              <w:jc w:val="center"/>
              <w:rPr>
                <w:color w:val="000000"/>
                <w:sz w:val="24"/>
                <w:highlight w:val="none"/>
              </w:rPr>
            </w:pPr>
            <w:r>
              <w:rPr>
                <w:rFonts w:hint="eastAsia"/>
                <w:color w:val="000000"/>
                <w:sz w:val="24"/>
                <w:highlight w:val="none"/>
              </w:rPr>
              <w:t>6</w:t>
            </w:r>
            <w:r>
              <w:rPr>
                <w:color w:val="000000"/>
                <w:sz w:val="24"/>
                <w:highlight w:val="none"/>
              </w:rPr>
              <w:t>0mg/L，0.00</w:t>
            </w:r>
            <w:r>
              <w:rPr>
                <w:rFonts w:hint="eastAsia"/>
                <w:color w:val="000000"/>
                <w:sz w:val="24"/>
                <w:highlight w:val="none"/>
                <w:lang w:val="en-US" w:eastAsia="zh-CN"/>
              </w:rPr>
              <w:t>086</w:t>
            </w:r>
            <w:r>
              <w:rPr>
                <w:color w:val="000000"/>
                <w:sz w:val="24"/>
                <w:highlight w:val="none"/>
              </w:rPr>
              <w:t>t/a</w:t>
            </w:r>
          </w:p>
        </w:tc>
        <w:tc>
          <w:tcPr>
            <w:tcW w:w="2606" w:type="dxa"/>
            <w:vMerge w:val="continue"/>
            <w:noWrap w:val="0"/>
            <w:vAlign w:val="center"/>
          </w:tcPr>
          <w:p>
            <w:pPr>
              <w:adjustRightInd w:val="0"/>
              <w:snapToGrid w:val="0"/>
              <w:jc w:val="center"/>
              <w:rPr>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939" w:type="dxa"/>
            <w:vMerge w:val="restart"/>
            <w:noWrap w:val="0"/>
            <w:vAlign w:val="center"/>
          </w:tcPr>
          <w:p>
            <w:pPr>
              <w:jc w:val="center"/>
              <w:rPr>
                <w:sz w:val="24"/>
                <w:highlight w:val="none"/>
              </w:rPr>
            </w:pPr>
            <w:r>
              <w:rPr>
                <w:sz w:val="24"/>
                <w:highlight w:val="none"/>
              </w:rPr>
              <w:t>固</w:t>
            </w:r>
          </w:p>
          <w:p>
            <w:pPr>
              <w:jc w:val="center"/>
              <w:rPr>
                <w:sz w:val="24"/>
                <w:highlight w:val="none"/>
              </w:rPr>
            </w:pPr>
            <w:r>
              <w:rPr>
                <w:sz w:val="24"/>
                <w:highlight w:val="none"/>
              </w:rPr>
              <w:t>体</w:t>
            </w:r>
          </w:p>
          <w:p>
            <w:pPr>
              <w:jc w:val="center"/>
              <w:rPr>
                <w:sz w:val="24"/>
                <w:highlight w:val="none"/>
              </w:rPr>
            </w:pPr>
            <w:r>
              <w:rPr>
                <w:sz w:val="24"/>
                <w:highlight w:val="none"/>
              </w:rPr>
              <w:t>废</w:t>
            </w:r>
          </w:p>
          <w:p>
            <w:pPr>
              <w:jc w:val="center"/>
              <w:rPr>
                <w:sz w:val="24"/>
                <w:highlight w:val="none"/>
              </w:rPr>
            </w:pPr>
            <w:r>
              <w:rPr>
                <w:sz w:val="24"/>
                <w:highlight w:val="none"/>
              </w:rPr>
              <w:t>物</w:t>
            </w:r>
          </w:p>
        </w:tc>
        <w:tc>
          <w:tcPr>
            <w:tcW w:w="1550" w:type="dxa"/>
            <w:noWrap w:val="0"/>
            <w:vAlign w:val="center"/>
          </w:tcPr>
          <w:p>
            <w:pPr>
              <w:spacing w:line="400" w:lineRule="exact"/>
              <w:jc w:val="center"/>
              <w:rPr>
                <w:rFonts w:hint="eastAsia" w:hAnsi="宋体" w:eastAsia="宋体"/>
                <w:sz w:val="24"/>
                <w:highlight w:val="none"/>
                <w:lang w:eastAsia="zh-CN"/>
              </w:rPr>
            </w:pPr>
            <w:r>
              <w:rPr>
                <w:rFonts w:hint="eastAsia"/>
                <w:sz w:val="24"/>
                <w:lang w:eastAsia="zh-CN"/>
              </w:rPr>
              <w:t>切割机</w:t>
            </w:r>
          </w:p>
        </w:tc>
        <w:tc>
          <w:tcPr>
            <w:tcW w:w="1415" w:type="dxa"/>
            <w:noWrap w:val="0"/>
            <w:vAlign w:val="center"/>
          </w:tcPr>
          <w:p>
            <w:pPr>
              <w:spacing w:line="400" w:lineRule="exact"/>
              <w:jc w:val="center"/>
              <w:rPr>
                <w:rFonts w:hint="eastAsia" w:eastAsia="宋体"/>
                <w:sz w:val="24"/>
                <w:highlight w:val="none"/>
                <w:lang w:eastAsia="zh-CN"/>
              </w:rPr>
            </w:pPr>
            <w:r>
              <w:rPr>
                <w:rFonts w:hint="eastAsia"/>
                <w:sz w:val="24"/>
                <w:lang w:eastAsia="zh-CN"/>
              </w:rPr>
              <w:t>废边角料</w:t>
            </w:r>
          </w:p>
        </w:tc>
        <w:tc>
          <w:tcPr>
            <w:tcW w:w="2574" w:type="dxa"/>
            <w:noWrap w:val="0"/>
            <w:vAlign w:val="center"/>
          </w:tcPr>
          <w:p>
            <w:pPr>
              <w:spacing w:line="400" w:lineRule="exact"/>
              <w:jc w:val="center"/>
              <w:rPr>
                <w:rFonts w:hint="eastAsia"/>
                <w:sz w:val="24"/>
                <w:highlight w:val="none"/>
              </w:rPr>
            </w:pPr>
            <w:r>
              <w:rPr>
                <w:rFonts w:hint="eastAsia"/>
                <w:sz w:val="24"/>
                <w:lang w:val="en-US" w:eastAsia="zh-CN"/>
              </w:rPr>
              <w:t>2</w:t>
            </w:r>
            <w:r>
              <w:rPr>
                <w:sz w:val="24"/>
              </w:rPr>
              <w:t>t/a</w:t>
            </w:r>
          </w:p>
        </w:tc>
        <w:tc>
          <w:tcPr>
            <w:tcW w:w="2606" w:type="dxa"/>
            <w:vMerge w:val="continue"/>
            <w:noWrap w:val="0"/>
            <w:vAlign w:val="center"/>
          </w:tcPr>
          <w:p>
            <w:pPr>
              <w:pStyle w:val="14"/>
              <w:rPr>
                <w:rFonts w:hint="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939" w:type="dxa"/>
            <w:vMerge w:val="continue"/>
            <w:noWrap w:val="0"/>
            <w:vAlign w:val="center"/>
          </w:tcPr>
          <w:p>
            <w:pPr>
              <w:jc w:val="center"/>
              <w:rPr>
                <w:sz w:val="24"/>
                <w:highlight w:val="none"/>
              </w:rPr>
            </w:pPr>
          </w:p>
        </w:tc>
        <w:tc>
          <w:tcPr>
            <w:tcW w:w="1550" w:type="dxa"/>
            <w:noWrap w:val="0"/>
            <w:vAlign w:val="center"/>
          </w:tcPr>
          <w:p>
            <w:pPr>
              <w:spacing w:line="400" w:lineRule="exact"/>
              <w:jc w:val="center"/>
              <w:rPr>
                <w:rFonts w:hint="eastAsia"/>
                <w:sz w:val="24"/>
                <w:lang w:eastAsia="zh-CN"/>
              </w:rPr>
            </w:pPr>
            <w:r>
              <w:rPr>
                <w:rFonts w:hint="eastAsia"/>
                <w:sz w:val="24"/>
                <w:lang w:eastAsia="zh-CN"/>
              </w:rPr>
              <w:t>活性炭吸附装置</w:t>
            </w:r>
          </w:p>
        </w:tc>
        <w:tc>
          <w:tcPr>
            <w:tcW w:w="1415" w:type="dxa"/>
            <w:noWrap w:val="0"/>
            <w:vAlign w:val="center"/>
          </w:tcPr>
          <w:p>
            <w:pPr>
              <w:spacing w:line="400" w:lineRule="exact"/>
              <w:jc w:val="center"/>
              <w:rPr>
                <w:rFonts w:hint="eastAsia"/>
                <w:sz w:val="24"/>
                <w:lang w:eastAsia="zh-CN"/>
              </w:rPr>
            </w:pPr>
            <w:r>
              <w:rPr>
                <w:rFonts w:hint="eastAsia"/>
                <w:sz w:val="24"/>
                <w:lang w:eastAsia="zh-CN"/>
              </w:rPr>
              <w:t>废活性炭</w:t>
            </w:r>
          </w:p>
        </w:tc>
        <w:tc>
          <w:tcPr>
            <w:tcW w:w="2574" w:type="dxa"/>
            <w:noWrap w:val="0"/>
            <w:vAlign w:val="center"/>
          </w:tcPr>
          <w:p>
            <w:pPr>
              <w:spacing w:line="400" w:lineRule="exact"/>
              <w:jc w:val="center"/>
              <w:rPr>
                <w:rFonts w:hint="eastAsia"/>
                <w:sz w:val="24"/>
                <w:lang w:val="en-US" w:eastAsia="zh-CN"/>
              </w:rPr>
            </w:pPr>
            <w:r>
              <w:rPr>
                <w:rFonts w:hint="eastAsia"/>
                <w:sz w:val="24"/>
                <w:lang w:val="en-US" w:eastAsia="zh-CN"/>
              </w:rPr>
              <w:t>1</w:t>
            </w:r>
            <w:r>
              <w:rPr>
                <w:sz w:val="24"/>
              </w:rPr>
              <w:t>t/a</w:t>
            </w:r>
          </w:p>
        </w:tc>
        <w:tc>
          <w:tcPr>
            <w:tcW w:w="2606" w:type="dxa"/>
            <w:vMerge w:val="continue"/>
            <w:noWrap w:val="0"/>
            <w:vAlign w:val="center"/>
          </w:tcPr>
          <w:p>
            <w:pPr>
              <w:pStyle w:val="14"/>
              <w:rPr>
                <w:rFonts w:hint="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939" w:type="dxa"/>
            <w:vMerge w:val="continue"/>
            <w:noWrap w:val="0"/>
            <w:vAlign w:val="center"/>
          </w:tcPr>
          <w:p>
            <w:pPr>
              <w:jc w:val="center"/>
              <w:rPr>
                <w:sz w:val="24"/>
                <w:highlight w:val="none"/>
              </w:rPr>
            </w:pPr>
          </w:p>
        </w:tc>
        <w:tc>
          <w:tcPr>
            <w:tcW w:w="1550" w:type="dxa"/>
            <w:noWrap w:val="0"/>
            <w:vAlign w:val="center"/>
          </w:tcPr>
          <w:p>
            <w:pPr>
              <w:spacing w:line="400" w:lineRule="exact"/>
              <w:jc w:val="center"/>
              <w:rPr>
                <w:rFonts w:hint="eastAsia" w:hAnsi="宋体"/>
                <w:sz w:val="24"/>
                <w:highlight w:val="none"/>
                <w:lang w:eastAsia="zh-CN"/>
              </w:rPr>
            </w:pPr>
            <w:r>
              <w:rPr>
                <w:sz w:val="24"/>
              </w:rPr>
              <w:t>职工生活</w:t>
            </w:r>
          </w:p>
        </w:tc>
        <w:tc>
          <w:tcPr>
            <w:tcW w:w="1415" w:type="dxa"/>
            <w:noWrap w:val="0"/>
            <w:vAlign w:val="center"/>
          </w:tcPr>
          <w:p>
            <w:pPr>
              <w:spacing w:line="400" w:lineRule="exact"/>
              <w:jc w:val="center"/>
              <w:rPr>
                <w:rFonts w:hint="eastAsia"/>
                <w:sz w:val="24"/>
                <w:highlight w:val="none"/>
                <w:lang w:eastAsia="zh-CN"/>
              </w:rPr>
            </w:pPr>
            <w:r>
              <w:rPr>
                <w:sz w:val="24"/>
              </w:rPr>
              <w:t>生活垃圾</w:t>
            </w:r>
          </w:p>
        </w:tc>
        <w:tc>
          <w:tcPr>
            <w:tcW w:w="2574" w:type="dxa"/>
            <w:noWrap w:val="0"/>
            <w:vAlign w:val="center"/>
          </w:tcPr>
          <w:p>
            <w:pPr>
              <w:spacing w:line="400" w:lineRule="exact"/>
              <w:jc w:val="center"/>
              <w:rPr>
                <w:rFonts w:hint="eastAsia"/>
                <w:sz w:val="24"/>
                <w:highlight w:val="none"/>
                <w:lang w:val="en-US" w:eastAsia="zh-CN"/>
              </w:rPr>
            </w:pPr>
            <w:r>
              <w:rPr>
                <w:rFonts w:hint="eastAsia"/>
                <w:sz w:val="24"/>
              </w:rPr>
              <w:t>0.</w:t>
            </w:r>
            <w:r>
              <w:rPr>
                <w:rFonts w:hint="eastAsia"/>
                <w:sz w:val="24"/>
                <w:lang w:val="en-US" w:eastAsia="zh-CN"/>
              </w:rPr>
              <w:t>3</w:t>
            </w:r>
            <w:r>
              <w:rPr>
                <w:rFonts w:hint="eastAsia"/>
                <w:sz w:val="24"/>
              </w:rPr>
              <w:t>6</w:t>
            </w:r>
            <w:r>
              <w:rPr>
                <w:sz w:val="24"/>
              </w:rPr>
              <w:t>t/a</w:t>
            </w:r>
          </w:p>
        </w:tc>
        <w:tc>
          <w:tcPr>
            <w:tcW w:w="2606" w:type="dxa"/>
            <w:vMerge w:val="continue"/>
            <w:noWrap w:val="0"/>
            <w:vAlign w:val="center"/>
          </w:tcPr>
          <w:p>
            <w:pPr>
              <w:jc w:val="center"/>
              <w:rPr>
                <w:sz w:val="24"/>
                <w:highlight w:val="none"/>
                <w:u w:val="none" w:color="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6" w:hRule="atLeast"/>
        </w:trPr>
        <w:tc>
          <w:tcPr>
            <w:tcW w:w="939" w:type="dxa"/>
            <w:noWrap w:val="0"/>
            <w:vAlign w:val="center"/>
          </w:tcPr>
          <w:p>
            <w:pPr>
              <w:jc w:val="center"/>
              <w:rPr>
                <w:sz w:val="24"/>
                <w:highlight w:val="none"/>
              </w:rPr>
            </w:pPr>
            <w:r>
              <w:rPr>
                <w:sz w:val="24"/>
                <w:highlight w:val="none"/>
              </w:rPr>
              <w:t>噪 声</w:t>
            </w:r>
          </w:p>
        </w:tc>
        <w:tc>
          <w:tcPr>
            <w:tcW w:w="8145" w:type="dxa"/>
            <w:gridSpan w:val="4"/>
            <w:noWrap w:val="0"/>
            <w:vAlign w:val="center"/>
          </w:tcPr>
          <w:p>
            <w:pPr>
              <w:spacing w:line="360" w:lineRule="auto"/>
              <w:jc w:val="center"/>
              <w:rPr>
                <w:rFonts w:hint="eastAsia"/>
                <w:spacing w:val="-4"/>
                <w:sz w:val="24"/>
                <w:highlight w:val="none"/>
                <w:lang w:eastAsia="zh-CN"/>
              </w:rPr>
            </w:pPr>
            <w:r>
              <w:rPr>
                <w:rFonts w:hint="eastAsia"/>
                <w:spacing w:val="-4"/>
                <w:sz w:val="24"/>
                <w:highlight w:val="none"/>
                <w:lang w:eastAsia="zh-CN"/>
              </w:rPr>
              <w:t>项目噪声主要是生产设备噪声，噪声声级值在75~</w:t>
            </w:r>
            <w:r>
              <w:rPr>
                <w:rFonts w:hint="eastAsia"/>
                <w:spacing w:val="-4"/>
                <w:sz w:val="24"/>
                <w:highlight w:val="none"/>
                <w:lang w:val="en-US" w:eastAsia="zh-CN"/>
              </w:rPr>
              <w:t>92</w:t>
            </w:r>
            <w:r>
              <w:rPr>
                <w:rFonts w:hint="eastAsia"/>
                <w:spacing w:val="-4"/>
                <w:sz w:val="24"/>
                <w:highlight w:val="none"/>
                <w:lang w:eastAsia="zh-CN"/>
              </w:rPr>
              <w:t>dB（A）之间，生产设备置于封闭车间内，设备基础加装减震垫等措施减振降噪，通过距离衰减后降噪后厂界东、南、北侧噪声满足《工业企业厂界环境噪声排放标准》（GB12348-2008）2类和厂界西侧噪声满足《工业企业厂界环境噪声排放标准》（GB12348-2008）4类标准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trPr>
        <w:tc>
          <w:tcPr>
            <w:tcW w:w="939" w:type="dxa"/>
            <w:noWrap w:val="0"/>
            <w:vAlign w:val="center"/>
          </w:tcPr>
          <w:p>
            <w:pPr>
              <w:jc w:val="center"/>
              <w:rPr>
                <w:sz w:val="24"/>
                <w:highlight w:val="none"/>
              </w:rPr>
            </w:pPr>
            <w:r>
              <w:rPr>
                <w:sz w:val="24"/>
                <w:highlight w:val="none"/>
              </w:rPr>
              <w:t>其 他</w:t>
            </w:r>
          </w:p>
        </w:tc>
        <w:tc>
          <w:tcPr>
            <w:tcW w:w="8145" w:type="dxa"/>
            <w:gridSpan w:val="4"/>
            <w:noWrap w:val="0"/>
            <w:vAlign w:val="center"/>
          </w:tcPr>
          <w:p>
            <w:pPr>
              <w:spacing w:line="360" w:lineRule="auto"/>
              <w:ind w:firstLine="420" w:firstLineChars="200"/>
              <w:jc w:val="center"/>
              <w:rPr>
                <w:rFonts w:hint="eastAsia"/>
                <w:spacing w:val="-4"/>
                <w:sz w:val="24"/>
                <w:highlight w:val="none"/>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1" w:hRule="atLeast"/>
        </w:trPr>
        <w:tc>
          <w:tcPr>
            <w:tcW w:w="939" w:type="dxa"/>
            <w:noWrap w:val="0"/>
            <w:vAlign w:val="center"/>
          </w:tcPr>
          <w:p>
            <w:pPr>
              <w:jc w:val="center"/>
              <w:rPr>
                <w:sz w:val="24"/>
                <w:highlight w:val="none"/>
              </w:rPr>
            </w:pPr>
            <w:r>
              <w:rPr>
                <w:rFonts w:hint="eastAsia"/>
                <w:sz w:val="24"/>
                <w:highlight w:val="none"/>
              </w:rPr>
              <w:t>生态</w:t>
            </w:r>
          </w:p>
        </w:tc>
        <w:tc>
          <w:tcPr>
            <w:tcW w:w="8145" w:type="dxa"/>
            <w:gridSpan w:val="4"/>
            <w:noWrap w:val="0"/>
            <w:vAlign w:val="center"/>
          </w:tcPr>
          <w:p>
            <w:pPr>
              <w:spacing w:before="156" w:beforeLines="50" w:line="360" w:lineRule="auto"/>
              <w:rPr>
                <w:sz w:val="24"/>
                <w:highlight w:val="none"/>
              </w:rPr>
            </w:pPr>
            <w:r>
              <w:rPr>
                <w:b/>
                <w:bCs/>
                <w:sz w:val="24"/>
                <w:highlight w:val="none"/>
              </w:rPr>
              <w:t>主要生态影响（不够时可附另页）</w:t>
            </w:r>
          </w:p>
          <w:p>
            <w:pPr>
              <w:spacing w:line="360" w:lineRule="auto"/>
              <w:ind w:firstLine="480" w:firstLineChars="200"/>
              <w:rPr>
                <w:szCs w:val="21"/>
                <w:highlight w:val="none"/>
              </w:rPr>
            </w:pPr>
            <w:r>
              <w:rPr>
                <w:sz w:val="24"/>
                <w:highlight w:val="none"/>
              </w:rPr>
              <w:t>该项目位于</w:t>
            </w:r>
            <w:r>
              <w:rPr>
                <w:rFonts w:hint="eastAsia"/>
                <w:spacing w:val="-4"/>
                <w:sz w:val="24"/>
                <w:highlight w:val="none"/>
                <w:lang w:eastAsia="zh-CN"/>
              </w:rPr>
              <w:t>河北省廊坊市大城县里坦镇流源庄村</w:t>
            </w:r>
            <w:r>
              <w:rPr>
                <w:rFonts w:hint="eastAsia"/>
                <w:sz w:val="24"/>
                <w:highlight w:val="none"/>
              </w:rPr>
              <w:t>，</w:t>
            </w:r>
            <w:r>
              <w:rPr>
                <w:sz w:val="24"/>
                <w:highlight w:val="none"/>
              </w:rPr>
              <w:t>周围以工业生态环境为主，没有稀有物种，不会对原有生态环境造成影响，因此对生态影响很小。</w:t>
            </w:r>
          </w:p>
        </w:tc>
      </w:tr>
    </w:tbl>
    <w:p>
      <w:pPr>
        <w:outlineLvl w:val="0"/>
        <w:rPr>
          <w:b/>
          <w:color w:val="000000"/>
          <w:sz w:val="32"/>
          <w:highlight w:val="none"/>
        </w:rPr>
      </w:pPr>
      <w:r>
        <w:rPr>
          <w:b/>
          <w:color w:val="000000"/>
          <w:sz w:val="32"/>
          <w:highlight w:val="none"/>
        </w:rPr>
        <w:t>环境影响分析</w:t>
      </w:r>
    </w:p>
    <w:tbl>
      <w:tblPr>
        <w:tblStyle w:val="37"/>
        <w:tblW w:w="920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02" w:type="dxa"/>
            <w:noWrap w:val="0"/>
            <w:vAlign w:val="top"/>
          </w:tcPr>
          <w:p>
            <w:pPr>
              <w:keepNext w:val="0"/>
              <w:keepLines w:val="0"/>
              <w:pageBreakBefore w:val="0"/>
              <w:kinsoku/>
              <w:wordWrap/>
              <w:overflowPunct/>
              <w:topLinePunct w:val="0"/>
              <w:autoSpaceDE/>
              <w:autoSpaceDN/>
              <w:bidi w:val="0"/>
              <w:spacing w:line="360" w:lineRule="auto"/>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施工期环境影响分析：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本项目不存在土建等，主要为设备的安装和调试，时间较短，污染物产生较少，对周围环境影响较小。</w:t>
            </w:r>
          </w:p>
          <w:p>
            <w:pPr>
              <w:keepNext w:val="0"/>
              <w:keepLines w:val="0"/>
              <w:pageBreakBefore w:val="0"/>
              <w:kinsoku/>
              <w:wordWrap/>
              <w:overflowPunct/>
              <w:topLinePunct w:val="0"/>
              <w:autoSpaceDE/>
              <w:autoSpaceDN/>
              <w:bidi w:val="0"/>
              <w:spacing w:line="360" w:lineRule="auto"/>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营运期环境影响分析：</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outlineLvl w:val="9"/>
              <w:rPr>
                <w:rFonts w:hint="default" w:ascii="Times New Roman" w:hAnsi="Times New Roman" w:cs="Times New Roman"/>
                <w:b/>
                <w:bCs/>
                <w:sz w:val="24"/>
                <w:highlight w:val="none"/>
              </w:rPr>
            </w:pPr>
            <w:r>
              <w:rPr>
                <w:rFonts w:hint="default" w:ascii="Times New Roman" w:hAnsi="Times New Roman" w:cs="Times New Roman"/>
                <w:b/>
                <w:bCs/>
                <w:sz w:val="24"/>
                <w:highlight w:val="none"/>
                <w:lang w:val="en-US" w:eastAsia="zh-CN"/>
              </w:rPr>
              <w:t>1、</w:t>
            </w:r>
            <w:r>
              <w:rPr>
                <w:rFonts w:hint="default" w:ascii="Times New Roman" w:hAnsi="Times New Roman" w:cs="Times New Roman"/>
                <w:b/>
                <w:bCs/>
                <w:sz w:val="24"/>
                <w:highlight w:val="none"/>
              </w:rPr>
              <w:t>大气</w:t>
            </w:r>
            <w:r>
              <w:rPr>
                <w:rFonts w:hint="default" w:ascii="Times New Roman" w:hAnsi="Times New Roman" w:cs="Times New Roman"/>
                <w:b/>
                <w:bCs/>
                <w:sz w:val="24"/>
                <w:highlight w:val="none"/>
                <w:lang w:val="en-US" w:eastAsia="zh-CN"/>
              </w:rPr>
              <w:t>环境</w:t>
            </w:r>
            <w:r>
              <w:rPr>
                <w:rFonts w:hint="default" w:ascii="Times New Roman" w:hAnsi="Times New Roman" w:cs="Times New Roman"/>
                <w:b/>
                <w:bCs/>
                <w:sz w:val="24"/>
                <w:highlight w:val="none"/>
              </w:rPr>
              <w:t>影响影响分析</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（一）</w:t>
            </w:r>
            <w:r>
              <w:rPr>
                <w:rFonts w:hint="default" w:ascii="Times New Roman" w:hAnsi="Times New Roman" w:cs="Times New Roman"/>
                <w:color w:val="auto"/>
                <w:sz w:val="24"/>
              </w:rPr>
              <w:t>评价等级确定</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P</w:t>
            </w:r>
            <w:r>
              <w:rPr>
                <w:rFonts w:hint="default" w:ascii="Times New Roman" w:hAnsi="Times New Roman" w:cs="Times New Roman"/>
                <w:sz w:val="24"/>
                <w:szCs w:val="24"/>
                <w:vertAlign w:val="subscript"/>
              </w:rPr>
              <w:t>max</w:t>
            </w:r>
            <w:r>
              <w:rPr>
                <w:rFonts w:hint="default" w:ascii="Times New Roman" w:hAnsi="Times New Roman" w:cs="Times New Roman"/>
                <w:sz w:val="24"/>
                <w:szCs w:val="24"/>
              </w:rPr>
              <w:t>及D</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的确定</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依据《环境影响评价技术导则 大气环境》(HJ2.2-2008)中最大地面浓度占标率P</w:t>
            </w:r>
            <w:r>
              <w:rPr>
                <w:rFonts w:hint="default" w:ascii="Times New Roman" w:hAnsi="Times New Roman" w:cs="Times New Roman"/>
                <w:i/>
                <w:sz w:val="24"/>
                <w:szCs w:val="24"/>
              </w:rPr>
              <w:t>i</w:t>
            </w:r>
            <w:r>
              <w:rPr>
                <w:rFonts w:hint="default" w:ascii="Times New Roman" w:hAnsi="Times New Roman" w:cs="Times New Roman"/>
                <w:sz w:val="24"/>
                <w:szCs w:val="24"/>
              </w:rPr>
              <w:t>定义如下：</w:t>
            </w:r>
          </w:p>
          <w:p>
            <w:pPr>
              <w:spacing w:line="276" w:lineRule="auto"/>
              <w:ind w:firstLine="422" w:firstLineChars="176"/>
              <w:jc w:val="center"/>
              <w:rPr>
                <w:rFonts w:hint="default" w:ascii="Times New Roman" w:hAnsi="Times New Roman" w:cs="Times New Roman"/>
                <w:sz w:val="24"/>
                <w:szCs w:val="24"/>
              </w:rPr>
            </w:pPr>
            <w:r>
              <w:rPr>
                <w:rFonts w:hint="default" w:ascii="Times New Roman" w:hAnsi="Times New Roman" w:cs="Times New Roman"/>
                <w:sz w:val="24"/>
                <w:szCs w:val="24"/>
              </w:rPr>
              <w:pict>
                <v:shape id="_x0000_i1025" o:spt="75" type="#_x0000_t75" style="height:31.2pt;width:85.7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88&quot;/&gt;&lt;w:characterSpacingControl w:val=&quot;CompressPunctuation&quot;/&gt;&lt;w:documentProtection w:enforcement=&quot;off&quot;/&gt;&lt;w:doNotEmbedSystemFonts/&gt;&lt;w:defaultTabStop w:val=&quot;420&quot;/&gt;&lt;w:drawingGridVerticalSpacing w:val=&quot;156&quot;/&gt;&lt;w:displayHorizontalDrawingGridEvery w:val=&quot;1&quot;/&gt;&lt;w:displayVerticalDrawingGridEvery w:val=&quot;1&quot;/&gt;&lt;w:compat&gt;&lt;w:adjustLineHeightInTable/&gt;&lt;w:doNotExpandShiftReturn/&gt;&lt;w:balanceSingleByteDoubleByteWidth/&gt;&lt;w:spaceForUL/&gt;&lt;w:useFELayout/&gt;&lt;/w:compat&gt;&lt;/w:docPr&gt;&lt;w:body&gt;&lt;wx:sect&gt;&lt;w:p&gt;&lt;m:oMathPara&gt;&lt;m:oMath&gt;&lt;m:sSub&gt;&lt;m:sSubPr&gt;&lt;m:ctrlPr&gt;&lt;w:rPr&gt;&lt;w:rFonts w:ascii=&quot;Cambria Math&quot; w:h-ansi=&quot;Cambria Math&quot; w:cs=&quot;Times New Roman&quot; w:hint=&quot;default&quot;/&gt;&lt;w:sz w:val=&quot;24&quot;/&gt;&lt;w:sz-cs w:val=&quot;24&quot;/&gt;&lt;/w:rPr&gt;&lt;/m:ctrlPr&gt;&lt;/m:sSubPr&gt;&lt;m:e&gt;&lt;m:r&gt;&lt;w:rPr&gt;&lt;w:rFonts w:ascii=&quot;Cambria Math&quot; w:h-ansi=&quot;Cambria Math&quot; w:cs=&quot;Times New Roman&quot; w:hint=&quot;default&quot;/&gt;&lt;w:sz w:val=&quot;24&quot;/&gt;&lt;w:sz-cs w:val=&quot;24&quot;/&gt;&lt;/w:rPr&gt;&lt;m:t&gt;P&lt;/m:t&gt;&lt;/m:r&gt;&lt;m:ctrlPr&gt;&lt;w:rPr&gt;&lt;w:rFonts w:ascii=&quot;Cambria Math&quot; w:h-ansi=&quot;Cambria Math&quot; w:cs=&quot;Times New Roman&quot; w:hint=&quot;default&quot;/&gt;&lt;w:sz w:val=&quot;24&quot;/&gt;&lt;w:sz-cs w:val=&quot;24&quot;/&gt;&lt;/w:rPr&gt;&lt;/m:ctrlPr&gt;&lt;/m:e&gt;&lt;m:sub&gt;&lt;m:r&gt;&lt;w:rPr&gt;&lt;w:rFonts w:ascii=&quot;Cambria Math&quot; w:h-ansi=&quot;Cambria Math&quot; w:cs=&quot;Times New Roman&quot; w:hint=&quot;default&quot;/&gt;&lt;w:sz w:val=&quot;24&quot;/&gt;&lt;w:sz-cs w:val=&quot;24&quot;/&gt;&lt;/w:rPr&gt;&lt;m:t&gt;i&lt;/m:t&gt;&lt;/m:r&gt;&lt;m:ctrlPr&gt;&lt;w:rPr&gt;&lt;w:rFonts w:ascii=&quot;Cambria Math&quot; w:h-ansi=&quot;Cambria Math&quot; w:cs=&quot;Times New Roman&quot; w:hint=&quot;default&quot;/&gt;&lt;w:sz w:val=&quot;24&quot;/&gt;&lt;w:sz-cs w:val=&quot;24&quot;/&gt;&lt;/w:rPr&gt;&lt;/m:ctrlPr&gt;&lt;/m:sub&gt;&lt;/m:sSub&gt;&lt;m:r&gt;&lt;m:rPr&gt;&lt;m:sty m:val=&quot;p&quot;/&gt;&lt;/m:rPr&gt;&lt;w:rPr&gt;&lt;w:rFonts w:ascii=&quot;Cambria Math&quot; w:h-ansi=&quot;Cambria Math&quot; w:cs=&quot;Times New Roman&quot; w:hint=&quot;default&quot;/&gt;&lt;w:sz w:val=&quot;24&quot;/&gt;&lt;w:sz-cs w:val=&quot;24&quot;/&gt;&lt;/w:rPr&gt;&lt;m:t&gt;=&lt;/m:t&gt;&lt;/m:r&gt;&lt;m:f&gt;&lt;m:fPr&gt;&lt;m:ctrlPr&gt;&lt;w:rPr&gt;&lt;w:rFonts w:ascii=&quot;Cambria Math&quot; w:h-ansi=&quot;Cambria Math&quot; w:cs=&quot;Times New Roman&quot; w:hint=&quot;default&quot;/&gt;&lt;w:sz w:val=&quot;24&quot;/&gt;&lt;w:sz-cs w:val=&quot;24&quot;/&gt;&lt;/w:rPr&gt;&lt;/m:ctrlPr&gt;&lt;/m:fPr&gt;&lt;m:num&gt;&lt;m:sSub&gt;&lt;m:sSubPr&gt;&lt;m:ctrlPr&gt;&lt;w:rPr&gt;&lt;w:rFonts w:ascii=&quot;Cambria Math&quot; w:h-ansi=&quot;Cambria Math&quot; w:cs=&quot;Times New Roman&quot; w:hint=&quot;default&quot;/&gt;&lt;w:i/&gt;&lt;w:sz w:val=&quot;24&quot;/&gt;&lt;w:sz-cs w:val=&quot;24&quot;/&gt;&lt;/w:rPr&gt;&lt;/m:ctrlPr&gt;&lt;/m:sSubPr&gt;&lt;m:e&gt;&lt;m:r&gt;&lt;w:rPr&gt;&lt;w:rFonts w:ascii=&quot;Cambria Math&quot; w:h-ansi=&quot;Cambria Math&quot; w:cs=&quot;Times New Roman&quot; w:hint=&quot;default&quot;/&gt;&lt;w:sz w:val=&quot;24&quot;/&gt;&lt;w:sz-cs w:val=&quot;24&quot;/&gt;&lt;/w:rPr&gt;&lt;m:t&gt;C&lt;/m:t&gt;&lt;/m:r&gt;&lt;m:ctrlPr&gt;&lt;w:rPr&gt;&lt;w:rFonts w:ascii=&quot;Cambria Math&quot; w:h-ansi=&quot;Cambria Math&quot; w:cs=&quot;Times New Roman&quot; w:hint=&quot;default&quot;/&gt;&lt;w:i/&gt;&lt;w:sz w:val=&quot;24&quot;/&gt;&lt;w:sz-cs w:val=&quot;24&quot;/&gt;&lt;/w:rPr&gt;&lt;/m:ctrlPr&gt;&lt;/m:e&gt;&lt;m:sub&gt;&lt;m:r&gt;&lt;w:rPr&gt;&lt;w:rFonts w:ascii=&quot;Cambria Math&quot; w:h-ansi=&quot;Cambria Math&quot; w:cs=&quot;Times New Roman&quot; w:hint=&quot;default&quot;/&gt;&lt;w:sz w:val=&quot;24&quot;/&gt;&lt;w:sz-cs w:val=&quot;24&quot;/&gt;&lt;/w:rPr&gt;&lt;m:t&gt;i&lt;/m:t&gt;&lt;/m:r&gt;&lt;m:ctrlPr&gt;&lt;w:rPr&gt;&lt;w:rFonts w:ascii=&quot;Cambria Math&quot; w:h-ansi=&quot;Cambria Math&quot; w:cs=&quot;Times New Roman&quot; w:hint=&quot;default&quot;/&gt;&lt;w:i/&gt;&lt;w:sz w:val=&quot;24&quot;/&gt;&lt;w:sz-cs w:val=&quot;24&quot;/&gt;&lt;/w:rPr&gt;&lt;/m:ctrlPr&gt;&lt;/m:sub&gt;&lt;/m:sSub&gt;&lt;m:ctrlPr&gt;&lt;w:rPr&gt;&lt;w:rFonts w:ascii=&quot;Cambria Math&quot; w:h-ansi=&quot;Cambria Math&quot; w:cs=&quot;Times New Roman&quot; w:hint=&quot;default&quot;/&gt;&lt;w:sz w:val=&quot;24&quot;/&gt;&lt;w:sz-cs w:val=&quot;24&quot;/&gt;&lt;/w:rPr&gt;&lt;/m:ctrlPr&gt;&lt;/m:num&gt;&lt;m:den&gt;&lt;m:sSub&gt;&lt;m:sSubPr&gt;&lt;m:ctrlPr&gt;&lt;w:rPr&gt;&lt;w:rFonts w:ascii=&quot;Cambria Math&quot; w:h-ansi=&quot;Cambria Math&quot; w:cs=&quot;Times New Roman&quot; w:hint=&quot;default&quot;/&gt;&lt;w:i/&gt;&lt;w:sz w:val=&quot;24&quot;/&gt;&lt;w:sz-cs w:val=&quot;24&quot;/&gt;&lt;/w:rPr&gt;&lt;/m:ctrlPr&gt;&lt;/m:sSubPr&gt;&lt;m:e&gt;&lt;m:r&gt;&lt;w:rPr&gt;&lt;w:rFonts w:ascii=&quot;Cambria Math&quot; w:h-ansi=&quot;Cambria Math&quot; w:cs=&quot;Times New Roman&quot; w:hint=&quot;default&quot;/&gt;&lt;w:sz w:val=&quot;24&quot;/&gt;&lt;w:sz-cs w:val=&quot;24&quot;/&gt;&lt;/w:rPr&gt;&lt;m:t&gt;C&lt;/m:t&gt;&lt;/m:r&gt;&lt;m:ctrlPr&gt;&lt;w:rPr&gt;&lt;w:rFonts w:ascii=&quot;Cambria Math&quot; w:h-ansi=&quot;Cambria Math&quot; w:cs=&quot;Times New Roman&quot; w:hint=&quot;default&quot;/&gt;&lt;w:i/&gt;&lt;w:sz w:val=&quot;24&quot;/&gt;&lt;w:sz-cs w:val=&quot;24&quot;/&gt;&lt;/w:rPr&gt;&lt;/m:ctrlPr&gt;&lt;/m:e&gt;&lt;m:sub&gt;&lt;m:r&gt;&lt;w:rPr&gt;&lt;w:rFonts w:ascii=&quot;Cambria Math&quot; w:h-ansi=&quot;Cambria Math&quot; w:cs=&quot;Times New Roman&quot; w:hint=&quot;default&quot;/&gt;&lt;w:sz w:val=&quot;24&quot;/&gt;&lt;w:sz-cs w:val=&quot;24&quot;/&gt;&lt;/w:rPr&gt;&lt;m:t&gt;0i&lt;/m:t&gt;&lt;/m:r&gt;&lt;m:ctrlPr&gt;&lt;w:rPr&gt;&lt;w:rFonts w:ascii=&quot;Cambria Math&quot; w:h-ansi=&quot;Cambria Math&quot; w:cs=&quot;Times New Roman&quot; w:hint=&quot;default&quot;/&gt;&lt;w:i/&gt;&lt;w:sz w:val=&quot;24&quot;/&gt;&lt;w:sz-cs w:val=&quot;24&quot;/&gt;&lt;/w:rPr&gt;&lt;/m:ctrlPr&gt;&lt;/m:sub&gt;&lt;/m:sSub&gt;&lt;m:ctrlPr&gt;&lt;w:rPr&gt;&lt;w:rFonts w:ascii=&quot;Cambria Math&quot; w:h-ansi=&quot;Cambria Math&quot; w:cs=&quot;Times New Roman&quot; w:hint=&quot;default&quot;/&gt;&lt;w:sz w:val=&quot;24&quot;/&gt;&lt;w:sz-cs w:val=&quot;24&quot;/&gt;&lt;/w:rPr&gt;&lt;/m:ctrlPr&gt;&lt;/m:den&gt;&lt;/m:f&gt;&lt;m:r&gt;&lt;w:rPr&gt;&lt;w:rFonts w:ascii=&quot;Cambria Math&quot; w:h-ansi=&quot;Cambria Math&quot; w:cs=&quot;Times New Roman&quot; w:hint=&quot;default&quot;/&gt;&lt;w:sz w:val=&quot;24&quot;/&gt;&lt;w:sz-cs w:val=&quot;24&quot;/&gt;&lt;/w:rPr&gt;&lt;m:t&gt;×100%&lt;/m:t&gt;&lt;/m:r&gt;&lt;/m:oMath&gt;&lt;/m:oMathPara&gt;&lt;/w:p&gt;&lt;/wx:sect&gt;&lt;/w:body&gt;&lt;/w:wordDocument&gt;">
                  <v:path/>
                  <v:fill on="f" focussize="0,0"/>
                  <v:stroke on="f"/>
                  <v:imagedata r:id="rId11" o:title=""/>
                  <o:lock v:ext="edit" aspectratio="f"/>
                  <w10:wrap type="none"/>
                  <w10:anchorlock/>
                </v:shape>
              </w:pic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pict>
                <v:shape id="_x0000_i1054" o:spt="75" type="#_x0000_t75" style="height:24pt;width:31.6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88&quot;/&gt;&lt;w:characterSpacingControl w:val=&quot;CompressPunctuation&quot;/&gt;&lt;w:documentProtection w:enforcement=&quot;off&quot;/&gt;&lt;w:doNotEmbedSystemFonts/&gt;&lt;w:defaultTabStop w:val=&quot;420&quot;/&gt;&lt;w:drawingGridVerticalSpacing w:val=&quot;156&quot;/&gt;&lt;w:displayHorizontalDrawingGridEvery w:val=&quot;1&quot;/&gt;&lt;w:displayVerticalDrawingGridEvery w:val=&quot;1&quot;/&gt;&lt;w:compat&gt;&lt;w:adjustLineHeightInTable/&gt;&lt;w:doNotExpandShiftReturn/&gt;&lt;w:balanceSingleByteDoubleByteWidth/&gt;&lt;w:spaceForUL/&gt;&lt;w:useFELayout/&gt;&lt;/w:compat&gt;&lt;/w:docPr&gt;&lt;w:body&gt;&lt;wx:sect&gt;&lt;w:p&gt;&lt;m:oMathPara&gt;&lt;m:oMath&gt;&lt;m:sSub&gt;&lt;m:sSubPr&gt;&lt;m:ctrlPr&gt;&lt;w:rPr&gt;&lt;w:rFonts w:ascii=&quot;Cambria Math&quot; w:h-ansi=&quot;Cambria Math&quot; w:cs=&quot;Times New Roman&quot; w:hint=&quot;default&quot;/&gt;&lt;w:sz w:val=&quot;24&quot;/&gt;&lt;w:sz-cs w:val=&quot;24&quot;/&gt;&lt;/w:rPr&gt;&lt;/m:ctrlPr&gt;&lt;/m:sSubPr&gt;&lt;m:e&gt;&lt;m:r&gt;&lt;w:rPr&gt;&lt;w:rFonts w:ascii=&quot;Cambria Math&quot; w:h-ansi=&quot;Cambria Math&quot; w:cs=&quot;Times New Roman&quot; w:hint=&quot;default&quot;/&gt;&lt;w:sz w:val=&quot;24&quot;/&gt;&lt;w:sz-cs w:val=&quot;24&quot;/&gt;&lt;/w:rPr&gt;&lt;m:t&gt;P&lt;/m:t&gt;&lt;/m:r&gt;&lt;m:ctrlPr&gt;&lt;w:rPr&gt;&lt;w:rFonts w:ascii=&quot;Cambria Math&quot; w:h-ansi=&quot;Cambria Math&quot; w:cs=&quot;Times New Roman&quot; w:hint=&quot;default&quot;/&gt;&lt;w:sz w:val=&quot;24&quot;/&gt;&lt;w:sz-cs w:val=&quot;24&quot;/&gt;&lt;/w:rPr&gt;&lt;/m:ctrlPr&gt;&lt;/m:e&gt;&lt;m:sub&gt;&lt;m:r&gt;&lt;w:rPr&gt;&lt;w:rFonts w:ascii=&quot;Cambria Math&quot; w:h-ansi=&quot;Cambria Math&quot; w:cs=&quot;Times New Roman&quot; w:hint=&quot;default&quot;/&gt;&lt;w:sz w:val=&quot;24&quot;/&gt;&lt;w:sz-cs w:val=&quot;24&quot;/&gt;&lt;/w:rPr&gt;&lt;m:t&gt;i&lt;/m:t&gt;&lt;/m:r&gt;&lt;m:ctrlPr&gt;&lt;w:rPr&gt;&lt;w:rFonts w:ascii=&quot;Cambria Math&quot; w:h-ansi=&quot;Cambria Math&quot; w:cs=&quot;Times New Roman&quot; w:hint=&quot;default&quot;/&gt;&lt;w:sz w:val=&quot;24&quot;/&gt;&lt;w:sz-cs w:val=&quot;24&quot;/&gt;&lt;/w:rPr&gt;&lt;/m:ctrlPr&gt;&lt;/m:sub&gt;&lt;/m:sSub&gt;&lt;/m:oMath&gt;&lt;/m:oMathPara&gt;&lt;/w:p&gt;&lt;/wx:sect&gt;&lt;/w:body&gt;&lt;/w:wordDocument&gt;">
                  <v:path/>
                  <v:fill on="f" focussize="0,0"/>
                  <v:stroke on="f"/>
                  <v:imagedata r:id="rId12" o:title=""/>
                  <o:lock v:ext="edit" aspectratio="f"/>
                  <w10:wrap type="none"/>
                  <w10:anchorlock/>
                </v:shape>
              </w:pict>
            </w:r>
            <w:r>
              <w:rPr>
                <w:rFonts w:hint="default" w:ascii="Times New Roman" w:hAnsi="Times New Roman" w:cs="Times New Roman"/>
                <w:sz w:val="24"/>
                <w:szCs w:val="24"/>
              </w:rPr>
              <w:t xml:space="preserve"> ——第i个污染物的最大地面空气质量浓度 占标率，%；</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pict>
                <v:shape id="_x0000_i1055" o:spt="75" type="#_x0000_t75" style="height:24pt;width:31.35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88&quot;/&gt;&lt;w:characterSpacingControl w:val=&quot;CompressPunctuation&quot;/&gt;&lt;w:documentProtection w:enforcement=&quot;off&quot;/&gt;&lt;w:doNotEmbedSystemFonts/&gt;&lt;w:defaultTabStop w:val=&quot;420&quot;/&gt;&lt;w:drawingGridVerticalSpacing w:val=&quot;156&quot;/&gt;&lt;w:displayHorizontalDrawingGridEvery w:val=&quot;1&quot;/&gt;&lt;w:displayVerticalDrawingGridEvery w:val=&quot;1&quot;/&gt;&lt;w:compat&gt;&lt;w:adjustLineHeightInTable/&gt;&lt;w:doNotExpandShiftReturn/&gt;&lt;w:balanceSingleByteDoubleByteWidth/&gt;&lt;w:spaceForUL/&gt;&lt;w:useFELayout/&gt;&lt;/w:compat&gt;&lt;/w:docPr&gt;&lt;w:body&gt;&lt;wx:sect&gt;&lt;w:p&gt;&lt;m:oMathPara&gt;&lt;m:oMath&gt;&lt;m:sSub&gt;&lt;m:sSubPr&gt;&lt;m:ctrlPr&gt;&lt;w:rPr&gt;&lt;w:rFonts w:ascii=&quot;Cambria Math&quot; w:h-ansi=&quot;Cambria Math&quot; w:cs=&quot;Times New Roman&quot; w:hint=&quot;default&quot;/&gt;&lt;w:i/&gt;&lt;w:sz w:val=&quot;24&quot;/&gt;&lt;w:sz-cs w:val=&quot;24&quot;/&gt;&lt;/w:rPr&gt;&lt;/m:ctrlPr&gt;&lt;/m:sSubPr&gt;&lt;m:e&gt;&lt;m:r&gt;&lt;w:rPr&gt;&lt;w:rFonts w:ascii=&quot;Cambria Math&quot; w:h-ansi=&quot;Cambria Math&quot; w:cs=&quot;Times New Roman&quot; w:hint=&quot;default&quot;/&gt;&lt;w:sz w:val=&quot;24&quot;/&gt;&lt;w:sz-cs w:val=&quot;24&quot;/&gt;&lt;/w:rPr&gt;&lt;m:t&gt;C&lt;/m:t&gt;&lt;/m:r&gt;&lt;m:ctrlPr&gt;&lt;w:rPr&gt;&lt;w:rFonts w:ascii=&quot;Cambria Math&quot; w:h-ansi=&quot;Cambria Math&quot; w:cs=&quot;Times New Roman&quot; w:hint=&quot;default&quot;/&gt;&lt;w:i/&gt;&lt;w:sz w:val=&quot;24&quot;/&gt;&lt;w:sz-cs w:val=&quot;24&quot;/&gt;&lt;/w:rPr&gt;&lt;/m:ctrlPr&gt;&lt;/m:e&gt;&lt;m:sub&gt;&lt;m:r&gt;&lt;w:rPr&gt;&lt;w:rFonts w:ascii=&quot;Cambria Math&quot; w:h-ansi=&quot;Cambria Math&quot; w:cs=&quot;Times New Roman&quot; w:hint=&quot;default&quot;/&gt;&lt;w:sz w:val=&quot;24&quot;/&gt;&lt;w:sz-cs w:val=&quot;24&quot;/&gt;&lt;/w:rPr&gt;&lt;m:t&gt;i&lt;/m:t&gt;&lt;/m:r&gt;&lt;m:ctrlPr&gt;&lt;w:rPr&gt;&lt;w:rFonts w:ascii=&quot;Cambria Math&quot; w:h-ansi=&quot;Cambria Math&quot; w:cs=&quot;Times New Roman&quot; w:hint=&quot;default&quot;/&gt;&lt;w:i/&gt;&lt;w:sz w:val=&quot;24&quot;/&gt;&lt;w:sz-cs w:val=&quot;24&quot;/&gt;&lt;/w:rPr&gt;&lt;/m:ctrlPr&gt;&lt;/m:sub&gt;&lt;/m:sSub&gt;&lt;/m:oMath&gt;&lt;/m:oMathPara&gt;&lt;/w:p&gt;&lt;/wx:sect&gt;&lt;/w:body&gt;&lt;/w:wordDocument&gt;">
                  <v:path/>
                  <v:fill on="f" focussize="0,0"/>
                  <v:stroke on="f"/>
                  <v:imagedata r:id="rId13" o:title=""/>
                  <o:lock v:ext="edit" aspectratio="f"/>
                  <w10:wrap type="none"/>
                  <w10:anchorlock/>
                </v:shape>
              </w:pict>
            </w:r>
            <w:r>
              <w:rPr>
                <w:rFonts w:hint="default" w:ascii="Times New Roman" w:hAnsi="Times New Roman" w:cs="Times New Roman"/>
                <w:sz w:val="24"/>
                <w:szCs w:val="24"/>
              </w:rPr>
              <w:t>——采用估算模型计算出的第i个污染物的最大1h地面空气质量浓度，μg/m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pict>
                <v:shape id="_x0000_i1056" o:spt="75" type="#_x0000_t75" style="height:24pt;width:36.1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88&quot;/&gt;&lt;w:characterSpacingControl w:val=&quot;CompressPunctuation&quot;/&gt;&lt;w:documentProtection w:enforcement=&quot;off&quot;/&gt;&lt;w:doNotEmbedSystemFonts/&gt;&lt;w:defaultTabStop w:val=&quot;420&quot;/&gt;&lt;w:drawingGridVerticalSpacing w:val=&quot;156&quot;/&gt;&lt;w:displayHorizontalDrawingGridEvery w:val=&quot;1&quot;/&gt;&lt;w:displayVerticalDrawingGridEvery w:val=&quot;1&quot;/&gt;&lt;w:compat&gt;&lt;w:adjustLineHeightInTable/&gt;&lt;w:doNotExpandShiftReturn/&gt;&lt;w:balanceSingleByteDoubleByteWidth/&gt;&lt;w:spaceForUL/&gt;&lt;w:useFELayout/&gt;&lt;/w:compat&gt;&lt;/w:docPr&gt;&lt;w:body&gt;&lt;wx:sect&gt;&lt;w:p&gt;&lt;m:oMathPara&gt;&lt;m:oMath&gt;&lt;m:sSub&gt;&lt;m:sSubPr&gt;&lt;m:ctrlPr&gt;&lt;w:rPr&gt;&lt;w:rFonts w:ascii=&quot;Cambria Math&quot; w:h-ansi=&quot;Cambria Math&quot; w:cs=&quot;Times New Roman&quot; w:hint=&quot;default&quot;/&gt;&lt;w:i/&gt;&lt;w:sz w:val=&quot;24&quot;/&gt;&lt;w:sz-cs w:val=&quot;24&quot;/&gt;&lt;/w:rPr&gt;&lt;/m:ctrlPr&gt;&lt;/m:sSubPr&gt;&lt;m:e&gt;&lt;m:r&gt;&lt;w:rPr&gt;&lt;w:rFonts w:ascii=&quot;Cambria Math&quot; w:h-ansi=&quot;Cambria Math&quot; w:cs=&quot;Times New Roman&quot; w:hint=&quot;default&quot;/&gt;&lt;w:sz w:val=&quot;24&quot;/&gt;&lt;w:sz-cs w:val=&quot;24&quot;/&gt;&lt;/w:rPr&gt;&lt;m:t&gt;C&lt;/m:t&gt;&lt;/m:r&gt;&lt;m:ctrlPr&gt;&lt;w:rPr&gt;&lt;w:rFonts w:ascii=&quot;Cambria Math&quot; w:h-ansi=&quot;Cambria Math&quot; w:cs=&quot;Times New Roman&quot; w:hint=&quot;default&quot;/&gt;&lt;w:i/&gt;&lt;w:sz w:val=&quot;24&quot;/&gt;&lt;w:sz-cs w:val=&quot;24&quot;/&gt;&lt;/w:rPr&gt;&lt;/m:ctrlPr&gt;&lt;/m:e&gt;&lt;m:sub&gt;&lt;m:r&gt;&lt;w:rPr&gt;&lt;w:rFonts w:ascii=&quot;Cambria Math&quot; w:h-ansi=&quot;Cambria Math&quot; w:cs=&quot;Times New Roman&quot; w:hint=&quot;default&quot;/&gt;&lt;w:sz w:val=&quot;24&quot;/&gt;&lt;w:sz-cs w:val=&quot;24&quot;/&gt;&lt;/w:rPr&gt;&lt;m:t&gt;0i&lt;/m:t&gt;&lt;/m:r&gt;&lt;m:ctrlPr&gt;&lt;w:rPr&gt;&lt;w:rFonts w:ascii=&quot;Cambria Math&quot; w:h-ansi=&quot;Cambria Math&quot; w:cs=&quot;Times New Roman&quot; w:hint=&quot;default&quot;/&gt;&lt;w:i/&gt;&lt;w:sz w:val=&quot;24&quot;/&gt;&lt;w:sz-cs w:val=&quot;24&quot;/&gt;&lt;/w:rPr&gt;&lt;/m:ctrlPr&gt;&lt;/m:sub&gt;&lt;/m:sSub&gt;&lt;/m:oMath&gt;&lt;/m:oMathPara&gt;&lt;/w:p&gt;&lt;/wx:sect&gt;&lt;/w:body&gt;&lt;/w:wordDocument&gt;">
                  <v:path/>
                  <v:fill on="f" focussize="0,0"/>
                  <v:stroke on="f"/>
                  <v:imagedata r:id="rId14" o:title=""/>
                  <o:lock v:ext="edit" aspectratio="f"/>
                  <w10:wrap type="none"/>
                  <w10:anchorlock/>
                </v:shape>
              </w:pict>
            </w:r>
            <w:r>
              <w:rPr>
                <w:rFonts w:hint="default" w:ascii="Times New Roman" w:hAnsi="Times New Roman" w:cs="Times New Roman"/>
                <w:sz w:val="24"/>
                <w:szCs w:val="24"/>
              </w:rPr>
              <w:t>——第i个污染物的环境空气质量浓度标准，μg/m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评价等级判别表</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评价等级按下表的分级判据进行划分</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w:t>
            </w:r>
            <w:r>
              <w:rPr>
                <w:rFonts w:hint="default" w:ascii="Times New Roman" w:hAnsi="Times New Roman" w:eastAsia="宋体" w:cs="Times New Roman"/>
                <w:b/>
                <w:color w:val="auto"/>
                <w:sz w:val="24"/>
                <w:highlight w:val="none"/>
                <w:lang w:val="en-US" w:eastAsia="zh-CN"/>
              </w:rPr>
              <w:t>12</w:t>
            </w:r>
            <w:r>
              <w:rPr>
                <w:rFonts w:hint="default" w:ascii="Times New Roman" w:hAnsi="Times New Roman" w:eastAsia="宋体" w:cs="Times New Roman"/>
                <w:b/>
                <w:color w:val="auto"/>
                <w:sz w:val="24"/>
                <w:highlight w:val="none"/>
              </w:rPr>
              <w:t xml:space="preserve"> 评价等级判别表</w:t>
            </w:r>
          </w:p>
          <w:tbl>
            <w:tblPr>
              <w:tblStyle w:val="37"/>
              <w:tblW w:w="898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4"/>
              <w:gridCol w:w="44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4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评价工作等级</w:t>
                  </w:r>
                </w:p>
              </w:tc>
              <w:tc>
                <w:tcPr>
                  <w:tcW w:w="449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4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一级评价</w:t>
                  </w:r>
                </w:p>
              </w:tc>
              <w:tc>
                <w:tcPr>
                  <w:tcW w:w="449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4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二级评价</w:t>
                  </w:r>
                </w:p>
              </w:tc>
              <w:tc>
                <w:tcPr>
                  <w:tcW w:w="449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1%≦Pmax&lt;10%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4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三级评价</w:t>
                  </w:r>
                </w:p>
              </w:tc>
              <w:tc>
                <w:tcPr>
                  <w:tcW w:w="449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Pmax&lt;1%</w:t>
                  </w:r>
                </w:p>
              </w:tc>
            </w:tr>
          </w:tbl>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污染物评价标准</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污染物评价标准和来源见下表。</w:t>
            </w:r>
          </w:p>
          <w:p>
            <w:pPr>
              <w:keepNext w:val="0"/>
              <w:keepLines w:val="0"/>
              <w:pageBreakBefore w:val="0"/>
              <w:widowControl w:val="0"/>
              <w:kinsoku/>
              <w:wordWrap/>
              <w:overflowPunct/>
              <w:topLinePunct w:val="0"/>
              <w:autoSpaceDE/>
              <w:autoSpaceDN/>
              <w:bidi w:val="0"/>
              <w:adjustRightInd/>
              <w:snapToGrid/>
              <w:spacing w:line="420" w:lineRule="exact"/>
              <w:ind w:firstLine="424" w:firstLineChars="176"/>
              <w:jc w:val="center"/>
              <w:textAlignment w:val="auto"/>
              <w:rPr>
                <w:rFonts w:hint="default" w:ascii="Times New Roman" w:hAnsi="Times New Roman" w:eastAsia="宋体" w:cs="Times New Roman"/>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424" w:firstLineChars="176"/>
              <w:jc w:val="center"/>
              <w:textAlignment w:val="auto"/>
              <w:rPr>
                <w:rFonts w:hint="default" w:ascii="Times New Roman" w:hAnsi="Times New Roman" w:cs="Times New Roman"/>
                <w:b/>
                <w:bCs w:val="0"/>
                <w:sz w:val="24"/>
                <w:szCs w:val="24"/>
              </w:rPr>
            </w:pPr>
            <w:r>
              <w:rPr>
                <w:rFonts w:hint="default" w:ascii="Times New Roman" w:hAnsi="Times New Roman" w:eastAsia="宋体" w:cs="Times New Roman"/>
                <w:b/>
                <w:color w:val="auto"/>
                <w:sz w:val="24"/>
                <w:highlight w:val="none"/>
              </w:rPr>
              <w:t>表</w:t>
            </w:r>
            <w:r>
              <w:rPr>
                <w:rFonts w:hint="default" w:ascii="Times New Roman" w:hAnsi="Times New Roman" w:eastAsia="宋体" w:cs="Times New Roman"/>
                <w:b/>
                <w:color w:val="auto"/>
                <w:sz w:val="24"/>
                <w:highlight w:val="none"/>
                <w:lang w:val="en-US" w:eastAsia="zh-CN"/>
              </w:rPr>
              <w:t>13</w:t>
            </w:r>
            <w:r>
              <w:rPr>
                <w:rFonts w:hint="default" w:ascii="Times New Roman" w:hAnsi="Times New Roman" w:eastAsia="宋体" w:cs="Times New Roman"/>
                <w:b/>
                <w:color w:val="auto"/>
                <w:sz w:val="24"/>
                <w:highlight w:val="none"/>
              </w:rPr>
              <w:t xml:space="preserve">  污染物评价标</w:t>
            </w:r>
            <w:r>
              <w:rPr>
                <w:rFonts w:hint="default" w:ascii="Times New Roman" w:hAnsi="Times New Roman" w:cs="Times New Roman"/>
                <w:b/>
                <w:bCs w:val="0"/>
                <w:sz w:val="24"/>
                <w:szCs w:val="24"/>
              </w:rPr>
              <w:t>准</w:t>
            </w:r>
          </w:p>
          <w:tbl>
            <w:tblPr>
              <w:tblStyle w:val="37"/>
              <w:tblW w:w="898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739"/>
              <w:gridCol w:w="1923"/>
              <w:gridCol w:w="1721"/>
              <w:gridCol w:w="19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7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污染物名称</w:t>
                  </w:r>
                </w:p>
              </w:tc>
              <w:tc>
                <w:tcPr>
                  <w:tcW w:w="173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功能区</w:t>
                  </w:r>
                </w:p>
              </w:tc>
              <w:tc>
                <w:tcPr>
                  <w:tcW w:w="192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取值时间</w:t>
                  </w:r>
                </w:p>
              </w:tc>
              <w:tc>
                <w:tcPr>
                  <w:tcW w:w="1721" w:type="dxa"/>
                  <w:tcBorders>
                    <w:tl2br w:val="nil"/>
                    <w:tr2bl w:val="nil"/>
                  </w:tcBorders>
                  <w:noWrap w:val="0"/>
                  <w:vAlign w:val="center"/>
                </w:tcPr>
                <w:p>
                  <w:pPr>
                    <w:jc w:val="center"/>
                    <w:rPr>
                      <w:rFonts w:hint="default" w:ascii="Times New Roman" w:hAnsi="Times New Roman" w:cs="Times New Roman"/>
                      <w:sz w:val="21"/>
                      <w:szCs w:val="21"/>
                    </w:rPr>
                  </w:pPr>
                  <w:bookmarkStart w:id="0" w:name="OLE_LINK4"/>
                  <w:bookmarkStart w:id="1" w:name="OLE_LINK5"/>
                  <w:r>
                    <w:rPr>
                      <w:rFonts w:hint="default" w:ascii="Times New Roman" w:hAnsi="Times New Roman" w:cs="Times New Roman"/>
                      <w:sz w:val="21"/>
                      <w:szCs w:val="21"/>
                    </w:rPr>
                    <w:t>标准值</w:t>
                  </w:r>
                  <w:bookmarkEnd w:id="0"/>
                  <w:bookmarkEnd w:id="1"/>
                </w:p>
                <w:p>
                  <w:pPr>
                    <w:jc w:val="center"/>
                    <w:rPr>
                      <w:rFonts w:hint="default" w:ascii="Times New Roman" w:hAnsi="Times New Roman" w:cs="Times New Roman"/>
                      <w:sz w:val="21"/>
                      <w:szCs w:val="21"/>
                    </w:rPr>
                  </w:pPr>
                  <w:bookmarkStart w:id="2" w:name="OLE_LINK14"/>
                  <w:bookmarkStart w:id="3" w:name="OLE_LINK15"/>
                  <w:r>
                    <w:rPr>
                      <w:rFonts w:hint="default" w:ascii="Times New Roman" w:hAnsi="Times New Roman" w:cs="Times New Roman"/>
                      <w:sz w:val="21"/>
                      <w:szCs w:val="21"/>
                    </w:rPr>
                    <w:t>(μg/m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bookmarkEnd w:id="2"/>
                  <w:bookmarkEnd w:id="3"/>
                </w:p>
              </w:tc>
              <w:tc>
                <w:tcPr>
                  <w:tcW w:w="192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7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73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二类限区</w:t>
                  </w:r>
                </w:p>
              </w:tc>
              <w:tc>
                <w:tcPr>
                  <w:tcW w:w="192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日均</w:t>
                  </w:r>
                </w:p>
              </w:tc>
              <w:tc>
                <w:tcPr>
                  <w:tcW w:w="1721"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900</w:t>
                  </w:r>
                </w:p>
              </w:tc>
              <w:tc>
                <w:tcPr>
                  <w:tcW w:w="192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 3095-2012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7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SO</w:t>
                  </w:r>
                  <w:r>
                    <w:rPr>
                      <w:rFonts w:hint="default" w:ascii="Times New Roman" w:hAnsi="Times New Roman" w:cs="Times New Roman"/>
                      <w:sz w:val="21"/>
                      <w:szCs w:val="21"/>
                      <w:vertAlign w:val="subscript"/>
                      <w:lang w:val="en-US" w:eastAsia="zh-CN"/>
                    </w:rPr>
                    <w:t>2</w:t>
                  </w:r>
                </w:p>
              </w:tc>
              <w:tc>
                <w:tcPr>
                  <w:tcW w:w="173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二类限区</w:t>
                  </w:r>
                </w:p>
              </w:tc>
              <w:tc>
                <w:tcPr>
                  <w:tcW w:w="192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日均</w:t>
                  </w:r>
                </w:p>
              </w:tc>
              <w:tc>
                <w:tcPr>
                  <w:tcW w:w="1721"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500</w:t>
                  </w:r>
                </w:p>
              </w:tc>
              <w:tc>
                <w:tcPr>
                  <w:tcW w:w="192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 3095-2012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7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NO</w:t>
                  </w:r>
                  <w:r>
                    <w:rPr>
                      <w:rFonts w:hint="default" w:ascii="Times New Roman" w:hAnsi="Times New Roman" w:cs="Times New Roman"/>
                      <w:sz w:val="21"/>
                      <w:szCs w:val="21"/>
                      <w:vertAlign w:val="subscript"/>
                      <w:lang w:val="en-US" w:eastAsia="zh-CN"/>
                    </w:rPr>
                    <w:t>X</w:t>
                  </w:r>
                </w:p>
              </w:tc>
              <w:tc>
                <w:tcPr>
                  <w:tcW w:w="173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二类限区</w:t>
                  </w:r>
                </w:p>
              </w:tc>
              <w:tc>
                <w:tcPr>
                  <w:tcW w:w="192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日均</w:t>
                  </w:r>
                </w:p>
              </w:tc>
              <w:tc>
                <w:tcPr>
                  <w:tcW w:w="1721"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200</w:t>
                  </w:r>
                </w:p>
              </w:tc>
              <w:tc>
                <w:tcPr>
                  <w:tcW w:w="192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 3095-2012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74"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NMHC</w:t>
                  </w:r>
                </w:p>
              </w:tc>
              <w:tc>
                <w:tcPr>
                  <w:tcW w:w="173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二类限区</w:t>
                  </w:r>
                </w:p>
              </w:tc>
              <w:tc>
                <w:tcPr>
                  <w:tcW w:w="1923" w:type="dxa"/>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1小时平均</w:t>
                  </w:r>
                </w:p>
              </w:tc>
              <w:tc>
                <w:tcPr>
                  <w:tcW w:w="172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2000</w:t>
                  </w:r>
                </w:p>
              </w:tc>
              <w:tc>
                <w:tcPr>
                  <w:tcW w:w="192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 3095-2012</w:t>
                  </w:r>
                </w:p>
              </w:tc>
            </w:tr>
          </w:tbl>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4）</w:t>
            </w:r>
            <w:r>
              <w:rPr>
                <w:rFonts w:hint="default" w:ascii="Times New Roman" w:hAnsi="Times New Roman" w:cs="Times New Roman"/>
                <w:sz w:val="24"/>
                <w:szCs w:val="24"/>
              </w:rPr>
              <w:t>污染源参数</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主要废气污染源排放参数见下表：</w:t>
            </w:r>
          </w:p>
          <w:p>
            <w:pPr>
              <w:spacing w:line="480" w:lineRule="exact"/>
              <w:ind w:firstLine="424" w:firstLineChars="176"/>
              <w:jc w:val="center"/>
              <w:rPr>
                <w:rFonts w:hint="default" w:ascii="Times New Roman" w:hAnsi="Times New Roman" w:cs="Times New Roman"/>
                <w:b/>
                <w:bCs w:val="0"/>
                <w:sz w:val="24"/>
                <w:szCs w:val="24"/>
              </w:rPr>
            </w:pPr>
            <w:r>
              <w:rPr>
                <w:rFonts w:hint="default" w:ascii="Times New Roman" w:hAnsi="Times New Roman" w:eastAsia="宋体" w:cs="Times New Roman"/>
                <w:b/>
                <w:color w:val="auto"/>
                <w:sz w:val="24"/>
                <w:highlight w:val="none"/>
              </w:rPr>
              <w:t>表</w:t>
            </w:r>
            <w:r>
              <w:rPr>
                <w:rFonts w:hint="default" w:ascii="Times New Roman" w:hAnsi="Times New Roman" w:eastAsia="宋体" w:cs="Times New Roman"/>
                <w:b/>
                <w:color w:val="auto"/>
                <w:sz w:val="24"/>
                <w:highlight w:val="none"/>
                <w:lang w:val="en-US" w:eastAsia="zh-CN"/>
              </w:rPr>
              <w:t>14</w:t>
            </w:r>
            <w:r>
              <w:rPr>
                <w:rFonts w:hint="default" w:ascii="Times New Roman" w:hAnsi="Times New Roman" w:eastAsia="宋体" w:cs="Times New Roman"/>
                <w:b/>
                <w:color w:val="auto"/>
                <w:sz w:val="24"/>
                <w:highlight w:val="none"/>
              </w:rPr>
              <w:t xml:space="preserve"> 主要废气污染源参数一览表(点源</w:t>
            </w:r>
            <w:r>
              <w:rPr>
                <w:rFonts w:hint="default" w:ascii="Times New Roman" w:hAnsi="Times New Roman" w:cs="Times New Roman"/>
                <w:b/>
                <w:bCs w:val="0"/>
                <w:sz w:val="24"/>
                <w:szCs w:val="24"/>
              </w:rPr>
              <w:t>)</w:t>
            </w:r>
          </w:p>
          <w:tbl>
            <w:tblPr>
              <w:tblStyle w:val="37"/>
              <w:tblW w:w="898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25"/>
              <w:gridCol w:w="640"/>
              <w:gridCol w:w="668"/>
              <w:gridCol w:w="788"/>
              <w:gridCol w:w="902"/>
              <w:gridCol w:w="1120"/>
              <w:gridCol w:w="984"/>
              <w:gridCol w:w="1087"/>
              <w:gridCol w:w="938"/>
              <w:gridCol w:w="9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c>
                <w:tcPr>
                  <w:tcW w:w="925"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污染源名称</w:t>
                  </w:r>
                </w:p>
              </w:tc>
              <w:tc>
                <w:tcPr>
                  <w:tcW w:w="1308" w:type="dxa"/>
                  <w:gridSpan w:val="2"/>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排气筒底部中心坐标(</w:t>
                  </w:r>
                  <w:r>
                    <w:rPr>
                      <w:rFonts w:hint="default" w:ascii="Times New Roman" w:hAnsi="Times New Roman" w:cs="Times New Roman"/>
                      <w:sz w:val="21"/>
                      <w:szCs w:val="21"/>
                      <w:vertAlign w:val="superscript"/>
                    </w:rPr>
                    <w:t>o</w:t>
                  </w:r>
                  <w:r>
                    <w:rPr>
                      <w:rFonts w:hint="default" w:ascii="Times New Roman" w:hAnsi="Times New Roman" w:cs="Times New Roman"/>
                      <w:sz w:val="21"/>
                      <w:szCs w:val="21"/>
                    </w:rPr>
                    <w:t>)</w:t>
                  </w:r>
                </w:p>
              </w:tc>
              <w:tc>
                <w:tcPr>
                  <w:tcW w:w="3794" w:type="dxa"/>
                  <w:gridSpan w:val="4"/>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排气筒参数</w:t>
                  </w:r>
                </w:p>
              </w:tc>
              <w:tc>
                <w:tcPr>
                  <w:tcW w:w="1087" w:type="dxa"/>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污染物名称</w:t>
                  </w:r>
                </w:p>
              </w:tc>
              <w:tc>
                <w:tcPr>
                  <w:tcW w:w="938" w:type="dxa"/>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排放速率</w:t>
                  </w:r>
                </w:p>
              </w:tc>
              <w:tc>
                <w:tcPr>
                  <w:tcW w:w="934" w:type="dxa"/>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c>
                <w:tcPr>
                  <w:tcW w:w="925" w:type="dxa"/>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640"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经度</w:t>
                  </w:r>
                </w:p>
              </w:tc>
              <w:tc>
                <w:tcPr>
                  <w:tcW w:w="668"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纬度</w:t>
                  </w:r>
                </w:p>
              </w:tc>
              <w:tc>
                <w:tcPr>
                  <w:tcW w:w="788"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高度</w:t>
                  </w:r>
                </w:p>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(m)</w:t>
                  </w:r>
                </w:p>
              </w:tc>
              <w:tc>
                <w:tcPr>
                  <w:tcW w:w="902"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内径</w:t>
                  </w:r>
                </w:p>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(m)</w:t>
                  </w:r>
                </w:p>
              </w:tc>
              <w:tc>
                <w:tcPr>
                  <w:tcW w:w="1120"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温度</w:t>
                  </w:r>
                </w:p>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84" w:type="dxa"/>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流速</w:t>
                  </w:r>
                </w:p>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(m/s)</w:t>
                  </w:r>
                </w:p>
              </w:tc>
              <w:tc>
                <w:tcPr>
                  <w:tcW w:w="1087" w:type="dxa"/>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938" w:type="dxa"/>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934" w:type="dxa"/>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925"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发泡、打板、切割</w:t>
                  </w:r>
                </w:p>
              </w:tc>
              <w:tc>
                <w:tcPr>
                  <w:tcW w:w="640"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116.893676</w:t>
                  </w:r>
                </w:p>
              </w:tc>
              <w:tc>
                <w:tcPr>
                  <w:tcW w:w="668"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27.258957</w:t>
                  </w:r>
                </w:p>
              </w:tc>
              <w:tc>
                <w:tcPr>
                  <w:tcW w:w="788"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15.0</w:t>
                  </w:r>
                </w:p>
              </w:tc>
              <w:tc>
                <w:tcPr>
                  <w:tcW w:w="902"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0.5</w:t>
                  </w:r>
                </w:p>
              </w:tc>
              <w:tc>
                <w:tcPr>
                  <w:tcW w:w="1120"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lang w:val="en-US" w:eastAsia="zh-CN"/>
                    </w:rPr>
                    <w:t>25</w:t>
                  </w:r>
                  <w:r>
                    <w:rPr>
                      <w:rFonts w:hint="default" w:ascii="Times New Roman" w:hAnsi="Times New Roman" w:cs="Times New Roman"/>
                      <w:sz w:val="21"/>
                      <w:szCs w:val="21"/>
                    </w:rPr>
                    <w:t>.0</w:t>
                  </w:r>
                </w:p>
              </w:tc>
              <w:tc>
                <w:tcPr>
                  <w:tcW w:w="984"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3.68</w:t>
                  </w:r>
                </w:p>
              </w:tc>
              <w:tc>
                <w:tcPr>
                  <w:tcW w:w="1087"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lang w:val="en-US" w:eastAsia="zh-CN"/>
                    </w:rPr>
                    <w:t>NMHC</w:t>
                  </w:r>
                </w:p>
              </w:tc>
              <w:tc>
                <w:tcPr>
                  <w:tcW w:w="938" w:type="dxa"/>
                  <w:tcBorders>
                    <w:tl2br w:val="nil"/>
                    <w:tr2bl w:val="nil"/>
                  </w:tcBorders>
                  <w:noWrap w:val="0"/>
                  <w:vAlign w:val="center"/>
                </w:tcPr>
                <w:p>
                  <w:pPr>
                    <w:jc w:val="center"/>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0.0</w:t>
                  </w:r>
                  <w:r>
                    <w:rPr>
                      <w:rFonts w:hint="default" w:ascii="Times New Roman" w:hAnsi="Times New Roman" w:eastAsia="宋体" w:cs="Times New Roman"/>
                      <w:sz w:val="21"/>
                      <w:szCs w:val="21"/>
                      <w:highlight w:val="none"/>
                      <w:lang w:val="en-US" w:eastAsia="zh-CN"/>
                    </w:rPr>
                    <w:t>02</w:t>
                  </w:r>
                </w:p>
              </w:tc>
              <w:tc>
                <w:tcPr>
                  <w:tcW w:w="934" w:type="dxa"/>
                  <w:tcBorders>
                    <w:tl2br w:val="nil"/>
                    <w:tr2bl w:val="nil"/>
                  </w:tcBorders>
                  <w:noWrap w:val="0"/>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925"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打浆</w:t>
                  </w:r>
                </w:p>
              </w:tc>
              <w:tc>
                <w:tcPr>
                  <w:tcW w:w="640"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116.89</w:t>
                  </w:r>
                  <w:r>
                    <w:rPr>
                      <w:rFonts w:hint="default" w:ascii="Times New Roman" w:hAnsi="Times New Roman" w:cs="Times New Roman"/>
                      <w:sz w:val="21"/>
                      <w:szCs w:val="21"/>
                      <w:highlight w:val="none"/>
                      <w:lang w:val="en-US" w:eastAsia="zh-CN"/>
                    </w:rPr>
                    <w:t>2</w:t>
                  </w:r>
                  <w:r>
                    <w:rPr>
                      <w:rFonts w:hint="default" w:ascii="Times New Roman" w:hAnsi="Times New Roman" w:cs="Times New Roman"/>
                      <w:sz w:val="21"/>
                      <w:szCs w:val="21"/>
                      <w:highlight w:val="none"/>
                    </w:rPr>
                    <w:t>6</w:t>
                  </w:r>
                  <w:r>
                    <w:rPr>
                      <w:rFonts w:hint="default" w:ascii="Times New Roman" w:hAnsi="Times New Roman" w:cs="Times New Roman"/>
                      <w:sz w:val="21"/>
                      <w:szCs w:val="21"/>
                      <w:highlight w:val="none"/>
                      <w:lang w:val="en-US" w:eastAsia="zh-CN"/>
                    </w:rPr>
                    <w:t>59</w:t>
                  </w:r>
                </w:p>
              </w:tc>
              <w:tc>
                <w:tcPr>
                  <w:tcW w:w="668"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27.25</w:t>
                  </w:r>
                  <w:r>
                    <w:rPr>
                      <w:rFonts w:hint="default" w:ascii="Times New Roman" w:hAnsi="Times New Roman" w:cs="Times New Roman"/>
                      <w:sz w:val="21"/>
                      <w:szCs w:val="21"/>
                      <w:highlight w:val="none"/>
                      <w:lang w:val="en-US" w:eastAsia="zh-CN"/>
                    </w:rPr>
                    <w:t>7868</w:t>
                  </w:r>
                </w:p>
              </w:tc>
              <w:tc>
                <w:tcPr>
                  <w:tcW w:w="78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90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112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w:t>
                  </w:r>
                  <w:r>
                    <w:rPr>
                      <w:rFonts w:hint="default" w:ascii="Times New Roman" w:hAnsi="Times New Roman" w:cs="Times New Roman"/>
                      <w:sz w:val="21"/>
                      <w:szCs w:val="21"/>
                    </w:rPr>
                    <w:t>.0</w:t>
                  </w:r>
                </w:p>
              </w:tc>
              <w:tc>
                <w:tcPr>
                  <w:tcW w:w="984"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3.</w:t>
                  </w:r>
                  <w:r>
                    <w:rPr>
                      <w:rFonts w:hint="default" w:ascii="Times New Roman" w:hAnsi="Times New Roman" w:cs="Times New Roman"/>
                      <w:sz w:val="21"/>
                      <w:szCs w:val="21"/>
                      <w:lang w:val="en-US" w:eastAsia="zh-CN"/>
                    </w:rPr>
                    <w:t>98</w:t>
                  </w:r>
                </w:p>
              </w:tc>
              <w:tc>
                <w:tcPr>
                  <w:tcW w:w="1087"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938"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0.0033</w:t>
                  </w:r>
                </w:p>
              </w:tc>
              <w:tc>
                <w:tcPr>
                  <w:tcW w:w="93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925" w:type="dxa"/>
                  <w:vMerge w:val="restart"/>
                  <w:tcBorders>
                    <w:tl2br w:val="nil"/>
                    <w:tr2bl w:val="nil"/>
                  </w:tcBorders>
                  <w:noWrap w:val="0"/>
                  <w:vAlign w:val="center"/>
                </w:tcPr>
                <w:p>
                  <w:pPr>
                    <w:jc w:val="center"/>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锅炉</w:t>
                  </w:r>
                </w:p>
              </w:tc>
              <w:tc>
                <w:tcPr>
                  <w:tcW w:w="640" w:type="dxa"/>
                  <w:vMerge w:val="restart"/>
                  <w:tcBorders>
                    <w:tl2br w:val="nil"/>
                    <w:tr2bl w:val="nil"/>
                  </w:tcBorders>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116.893815</w:t>
                  </w:r>
                </w:p>
              </w:tc>
              <w:tc>
                <w:tcPr>
                  <w:tcW w:w="668" w:type="dxa"/>
                  <w:vMerge w:val="restart"/>
                  <w:tcBorders>
                    <w:tl2br w:val="nil"/>
                    <w:tr2bl w:val="nil"/>
                  </w:tcBorders>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27.258981</w:t>
                  </w:r>
                </w:p>
              </w:tc>
              <w:tc>
                <w:tcPr>
                  <w:tcW w:w="788"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902"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0.5</w:t>
                  </w:r>
                </w:p>
              </w:tc>
              <w:tc>
                <w:tcPr>
                  <w:tcW w:w="1120"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w:t>
                  </w:r>
                  <w:r>
                    <w:rPr>
                      <w:rFonts w:hint="default" w:ascii="Times New Roman" w:hAnsi="Times New Roman" w:cs="Times New Roman"/>
                      <w:sz w:val="21"/>
                      <w:szCs w:val="21"/>
                    </w:rPr>
                    <w:t>.0</w:t>
                  </w:r>
                </w:p>
              </w:tc>
              <w:tc>
                <w:tcPr>
                  <w:tcW w:w="984"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3.</w:t>
                  </w:r>
                  <w:r>
                    <w:rPr>
                      <w:rFonts w:hint="default" w:ascii="Times New Roman" w:hAnsi="Times New Roman" w:cs="Times New Roman"/>
                      <w:sz w:val="21"/>
                      <w:szCs w:val="21"/>
                      <w:lang w:val="en-US" w:eastAsia="zh-CN"/>
                    </w:rPr>
                    <w:t>78</w:t>
                  </w:r>
                </w:p>
              </w:tc>
              <w:tc>
                <w:tcPr>
                  <w:tcW w:w="108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938"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0.117</w:t>
                  </w:r>
                </w:p>
              </w:tc>
              <w:tc>
                <w:tcPr>
                  <w:tcW w:w="93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925" w:type="dxa"/>
                  <w:vMerge w:val="continue"/>
                  <w:tcBorders>
                    <w:tl2br w:val="nil"/>
                    <w:tr2bl w:val="nil"/>
                  </w:tcBorders>
                  <w:noWrap w:val="0"/>
                  <w:vAlign w:val="center"/>
                </w:tcPr>
                <w:p>
                  <w:pPr>
                    <w:jc w:val="center"/>
                    <w:rPr>
                      <w:rFonts w:hint="default" w:ascii="Times New Roman" w:hAnsi="Times New Roman" w:cs="Times New Roman"/>
                      <w:sz w:val="21"/>
                      <w:szCs w:val="21"/>
                      <w:highlight w:val="none"/>
                      <w:lang w:eastAsia="zh-CN"/>
                    </w:rPr>
                  </w:pPr>
                </w:p>
              </w:tc>
              <w:tc>
                <w:tcPr>
                  <w:tcW w:w="640" w:type="dxa"/>
                  <w:vMerge w:val="continue"/>
                  <w:tcBorders>
                    <w:tl2br w:val="nil"/>
                    <w:tr2bl w:val="nil"/>
                  </w:tcBorders>
                  <w:noWrap w:val="0"/>
                  <w:vAlign w:val="center"/>
                </w:tcPr>
                <w:p>
                  <w:pPr>
                    <w:jc w:val="center"/>
                    <w:rPr>
                      <w:rFonts w:hint="default" w:ascii="Times New Roman" w:hAnsi="Times New Roman" w:cs="Times New Roman"/>
                      <w:sz w:val="21"/>
                      <w:szCs w:val="21"/>
                      <w:highlight w:val="none"/>
                    </w:rPr>
                  </w:pPr>
                </w:p>
              </w:tc>
              <w:tc>
                <w:tcPr>
                  <w:tcW w:w="668" w:type="dxa"/>
                  <w:vMerge w:val="continue"/>
                  <w:tcBorders>
                    <w:tl2br w:val="nil"/>
                    <w:tr2bl w:val="nil"/>
                  </w:tcBorders>
                  <w:noWrap w:val="0"/>
                  <w:vAlign w:val="center"/>
                </w:tcPr>
                <w:p>
                  <w:pPr>
                    <w:jc w:val="center"/>
                    <w:rPr>
                      <w:rFonts w:hint="default" w:ascii="Times New Roman" w:hAnsi="Times New Roman" w:cs="Times New Roman"/>
                      <w:sz w:val="21"/>
                      <w:szCs w:val="21"/>
                      <w:highlight w:val="none"/>
                    </w:rPr>
                  </w:pPr>
                </w:p>
              </w:tc>
              <w:tc>
                <w:tcPr>
                  <w:tcW w:w="78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902"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120"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984"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8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SO</w:t>
                  </w:r>
                  <w:r>
                    <w:rPr>
                      <w:rFonts w:hint="default" w:ascii="Times New Roman" w:hAnsi="Times New Roman" w:cs="Times New Roman"/>
                      <w:sz w:val="21"/>
                      <w:szCs w:val="21"/>
                      <w:vertAlign w:val="subscript"/>
                      <w:lang w:val="en-US" w:eastAsia="zh-CN"/>
                    </w:rPr>
                    <w:t>2</w:t>
                  </w:r>
                </w:p>
              </w:tc>
              <w:tc>
                <w:tcPr>
                  <w:tcW w:w="938"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0.025</w:t>
                  </w:r>
                </w:p>
              </w:tc>
              <w:tc>
                <w:tcPr>
                  <w:tcW w:w="93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trPr>
              <w:tc>
                <w:tcPr>
                  <w:tcW w:w="925" w:type="dxa"/>
                  <w:vMerge w:val="continue"/>
                  <w:tcBorders>
                    <w:tl2br w:val="nil"/>
                    <w:tr2bl w:val="nil"/>
                  </w:tcBorders>
                  <w:noWrap w:val="0"/>
                  <w:vAlign w:val="center"/>
                </w:tcPr>
                <w:p>
                  <w:pPr>
                    <w:jc w:val="center"/>
                    <w:rPr>
                      <w:rFonts w:hint="default" w:ascii="Times New Roman" w:hAnsi="Times New Roman" w:cs="Times New Roman"/>
                      <w:sz w:val="21"/>
                      <w:szCs w:val="21"/>
                      <w:highlight w:val="none"/>
                      <w:lang w:eastAsia="zh-CN"/>
                    </w:rPr>
                  </w:pPr>
                </w:p>
              </w:tc>
              <w:tc>
                <w:tcPr>
                  <w:tcW w:w="640" w:type="dxa"/>
                  <w:vMerge w:val="continue"/>
                  <w:tcBorders>
                    <w:tl2br w:val="nil"/>
                    <w:tr2bl w:val="nil"/>
                  </w:tcBorders>
                  <w:noWrap w:val="0"/>
                  <w:vAlign w:val="center"/>
                </w:tcPr>
                <w:p>
                  <w:pPr>
                    <w:jc w:val="center"/>
                    <w:rPr>
                      <w:rFonts w:hint="default" w:ascii="Times New Roman" w:hAnsi="Times New Roman" w:cs="Times New Roman"/>
                      <w:sz w:val="21"/>
                      <w:szCs w:val="21"/>
                      <w:highlight w:val="none"/>
                    </w:rPr>
                  </w:pPr>
                </w:p>
              </w:tc>
              <w:tc>
                <w:tcPr>
                  <w:tcW w:w="668" w:type="dxa"/>
                  <w:vMerge w:val="continue"/>
                  <w:tcBorders>
                    <w:tl2br w:val="nil"/>
                    <w:tr2bl w:val="nil"/>
                  </w:tcBorders>
                  <w:noWrap w:val="0"/>
                  <w:vAlign w:val="center"/>
                </w:tcPr>
                <w:p>
                  <w:pPr>
                    <w:jc w:val="center"/>
                    <w:rPr>
                      <w:rFonts w:hint="default" w:ascii="Times New Roman" w:hAnsi="Times New Roman" w:cs="Times New Roman"/>
                      <w:sz w:val="21"/>
                      <w:szCs w:val="21"/>
                      <w:highlight w:val="none"/>
                    </w:rPr>
                  </w:pPr>
                </w:p>
              </w:tc>
              <w:tc>
                <w:tcPr>
                  <w:tcW w:w="78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902"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120"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984"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8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NO</w:t>
                  </w:r>
                  <w:r>
                    <w:rPr>
                      <w:rFonts w:hint="default" w:ascii="Times New Roman" w:hAnsi="Times New Roman" w:cs="Times New Roman"/>
                      <w:sz w:val="21"/>
                      <w:szCs w:val="21"/>
                      <w:vertAlign w:val="subscript"/>
                      <w:lang w:val="en-US" w:eastAsia="zh-CN"/>
                    </w:rPr>
                    <w:t>X</w:t>
                  </w:r>
                </w:p>
              </w:tc>
              <w:tc>
                <w:tcPr>
                  <w:tcW w:w="938"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0.015</w:t>
                  </w:r>
                </w:p>
              </w:tc>
              <w:tc>
                <w:tcPr>
                  <w:tcW w:w="93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r>
          </w:tbl>
          <w:p>
            <w:pPr>
              <w:pStyle w:val="14"/>
              <w:spacing w:line="480" w:lineRule="exact"/>
              <w:ind w:left="0" w:leftChars="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5）项目参数</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估算模式所用参数见表。</w:t>
            </w:r>
          </w:p>
          <w:p>
            <w:pPr>
              <w:keepNext w:val="0"/>
              <w:keepLines w:val="0"/>
              <w:pageBreakBefore w:val="0"/>
              <w:widowControl w:val="0"/>
              <w:kinsoku/>
              <w:wordWrap/>
              <w:overflowPunct/>
              <w:topLinePunct w:val="0"/>
              <w:autoSpaceDE/>
              <w:autoSpaceDN/>
              <w:bidi w:val="0"/>
              <w:adjustRightInd/>
              <w:snapToGrid/>
              <w:spacing w:line="420" w:lineRule="exact"/>
              <w:ind w:firstLine="424" w:firstLineChars="176"/>
              <w:jc w:val="center"/>
              <w:textAlignment w:val="auto"/>
              <w:rPr>
                <w:rFonts w:hint="default" w:ascii="Times New Roman" w:hAnsi="Times New Roman" w:cs="Times New Roman"/>
                <w:b/>
                <w:bCs w:val="0"/>
                <w:sz w:val="24"/>
                <w:szCs w:val="24"/>
              </w:rPr>
            </w:pPr>
            <w:r>
              <w:rPr>
                <w:rFonts w:hint="default" w:ascii="Times New Roman" w:hAnsi="Times New Roman" w:cs="Times New Roman"/>
                <w:b/>
                <w:bCs w:val="0"/>
                <w:sz w:val="24"/>
                <w:szCs w:val="24"/>
              </w:rPr>
              <w:t>表</w:t>
            </w:r>
            <w:r>
              <w:rPr>
                <w:rFonts w:hint="default" w:ascii="Times New Roman" w:hAnsi="Times New Roman" w:cs="Times New Roman"/>
                <w:b/>
                <w:bCs w:val="0"/>
                <w:sz w:val="24"/>
                <w:szCs w:val="24"/>
                <w:lang w:val="en-US" w:eastAsia="zh-CN"/>
              </w:rPr>
              <w:t>15</w:t>
            </w:r>
            <w:r>
              <w:rPr>
                <w:rFonts w:hint="default" w:ascii="Times New Roman" w:hAnsi="Times New Roman" w:cs="Times New Roman"/>
                <w:b/>
                <w:bCs w:val="0"/>
                <w:sz w:val="24"/>
                <w:szCs w:val="24"/>
              </w:rPr>
              <w:t xml:space="preserve">    估算模型参数表</w:t>
            </w:r>
          </w:p>
          <w:tbl>
            <w:tblPr>
              <w:tblStyle w:val="37"/>
              <w:tblW w:w="8956" w:type="dxa"/>
              <w:jc w:val="center"/>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464"/>
              <w:gridCol w:w="43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558" w:type="dxa"/>
                  <w:gridSpan w:val="2"/>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参数</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094"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城市农村/选项</w:t>
                  </w:r>
                </w:p>
              </w:tc>
              <w:tc>
                <w:tcPr>
                  <w:tcW w:w="246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城市/农村</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094"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246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人口数(城市人口数)</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558" w:type="dxa"/>
                  <w:gridSpan w:val="2"/>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最高环境温度</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38.6</w:t>
                  </w:r>
                  <w:r>
                    <w:rPr>
                      <w:rFonts w:hint="default" w:ascii="Times New Roman" w:hAnsi="Times New Roman" w:cs="Times New Roman"/>
                      <w:sz w:val="21"/>
                      <w:szCs w:val="21"/>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558" w:type="dxa"/>
                  <w:gridSpan w:val="2"/>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最低环境温度</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21.7</w:t>
                  </w:r>
                  <w:r>
                    <w:rPr>
                      <w:rFonts w:hint="default" w:ascii="Times New Roman" w:hAnsi="Times New Roman" w:cs="Times New Roman"/>
                      <w:sz w:val="21"/>
                      <w:szCs w:val="21"/>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558" w:type="dxa"/>
                  <w:gridSpan w:val="2"/>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土地利用类型</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558" w:type="dxa"/>
                  <w:gridSpan w:val="2"/>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区域湿度条件</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094"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是否考虑地形</w:t>
                  </w:r>
                </w:p>
              </w:tc>
              <w:tc>
                <w:tcPr>
                  <w:tcW w:w="246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考虑地形</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094"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246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地形数据分辨率(m)</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0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是否考虑海岸线熏烟</w:t>
                  </w:r>
                </w:p>
              </w:tc>
              <w:tc>
                <w:tcPr>
                  <w:tcW w:w="246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考虑海岸线熏烟</w:t>
                  </w:r>
                </w:p>
              </w:tc>
              <w:tc>
                <w:tcPr>
                  <w:tcW w:w="439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否</w:t>
                  </w:r>
                </w:p>
              </w:tc>
            </w:tr>
          </w:tbl>
          <w:p>
            <w:pPr>
              <w:pStyle w:val="14"/>
              <w:spacing w:line="480" w:lineRule="exact"/>
              <w:ind w:left="0" w:leftChars="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6）评级工作等级确定</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本项目所有污染源的正常排放的污染物的P</w:t>
            </w:r>
            <w:r>
              <w:rPr>
                <w:rFonts w:hint="default" w:ascii="Times New Roman" w:hAnsi="Times New Roman" w:cs="Times New Roman"/>
                <w:sz w:val="24"/>
                <w:szCs w:val="24"/>
                <w:vertAlign w:val="subscript"/>
              </w:rPr>
              <w:t>max</w:t>
            </w:r>
            <w:r>
              <w:rPr>
                <w:rFonts w:hint="default" w:ascii="Times New Roman" w:hAnsi="Times New Roman" w:cs="Times New Roman"/>
                <w:sz w:val="24"/>
                <w:szCs w:val="24"/>
              </w:rPr>
              <w:t>和D</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预测结果如下：</w:t>
            </w:r>
          </w:p>
          <w:p>
            <w:pPr>
              <w:keepNext w:val="0"/>
              <w:keepLines w:val="0"/>
              <w:pageBreakBefore w:val="0"/>
              <w:widowControl w:val="0"/>
              <w:kinsoku/>
              <w:wordWrap/>
              <w:overflowPunct/>
              <w:topLinePunct w:val="0"/>
              <w:autoSpaceDE/>
              <w:autoSpaceDN/>
              <w:bidi w:val="0"/>
              <w:adjustRightInd/>
              <w:snapToGrid/>
              <w:spacing w:line="420" w:lineRule="exact"/>
              <w:ind w:firstLine="424" w:firstLineChars="176"/>
              <w:jc w:val="center"/>
              <w:textAlignment w:val="auto"/>
              <w:rPr>
                <w:rFonts w:hint="default" w:ascii="Times New Roman" w:hAnsi="Times New Roman" w:cs="Times New Roman"/>
                <w:b/>
                <w:bCs w:val="0"/>
                <w:sz w:val="24"/>
                <w:szCs w:val="24"/>
              </w:rPr>
            </w:pPr>
            <w:r>
              <w:rPr>
                <w:rFonts w:hint="default" w:ascii="Times New Roman" w:hAnsi="Times New Roman" w:cs="Times New Roman"/>
                <w:b/>
                <w:bCs w:val="0"/>
                <w:sz w:val="24"/>
                <w:szCs w:val="24"/>
              </w:rPr>
              <w:t>表</w:t>
            </w:r>
            <w:r>
              <w:rPr>
                <w:rFonts w:hint="default" w:ascii="Times New Roman" w:hAnsi="Times New Roman" w:cs="Times New Roman"/>
                <w:b/>
                <w:bCs w:val="0"/>
                <w:sz w:val="24"/>
                <w:szCs w:val="24"/>
                <w:lang w:val="en-US" w:eastAsia="zh-CN"/>
              </w:rPr>
              <w:t>16</w:t>
            </w:r>
            <w:r>
              <w:rPr>
                <w:rFonts w:hint="default" w:ascii="Times New Roman" w:hAnsi="Times New Roman" w:cs="Times New Roman"/>
                <w:b/>
                <w:bCs w:val="0"/>
                <w:sz w:val="24"/>
                <w:szCs w:val="24"/>
              </w:rPr>
              <w:t xml:space="preserve">    P</w:t>
            </w:r>
            <w:r>
              <w:rPr>
                <w:rFonts w:hint="default" w:ascii="Times New Roman" w:hAnsi="Times New Roman" w:cs="Times New Roman"/>
                <w:b/>
                <w:bCs w:val="0"/>
                <w:sz w:val="24"/>
                <w:szCs w:val="24"/>
                <w:vertAlign w:val="subscript"/>
              </w:rPr>
              <w:t>max</w:t>
            </w:r>
            <w:r>
              <w:rPr>
                <w:rFonts w:hint="default" w:ascii="Times New Roman" w:hAnsi="Times New Roman" w:cs="Times New Roman"/>
                <w:b/>
                <w:bCs w:val="0"/>
                <w:sz w:val="24"/>
                <w:szCs w:val="24"/>
              </w:rPr>
              <w:t>和D</w:t>
            </w:r>
            <w:r>
              <w:rPr>
                <w:rFonts w:hint="default" w:ascii="Times New Roman" w:hAnsi="Times New Roman" w:cs="Times New Roman"/>
                <w:b/>
                <w:bCs w:val="0"/>
                <w:sz w:val="24"/>
                <w:szCs w:val="24"/>
                <w:vertAlign w:val="subscript"/>
              </w:rPr>
              <w:t>10%</w:t>
            </w:r>
            <w:r>
              <w:rPr>
                <w:rFonts w:hint="default" w:ascii="Times New Roman" w:hAnsi="Times New Roman" w:cs="Times New Roman"/>
                <w:b/>
                <w:bCs w:val="0"/>
                <w:sz w:val="24"/>
                <w:szCs w:val="24"/>
              </w:rPr>
              <w:t>预测和计算结果一览表</w:t>
            </w:r>
          </w:p>
          <w:tbl>
            <w:tblPr>
              <w:tblStyle w:val="37"/>
              <w:tblW w:w="898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499"/>
              <w:gridCol w:w="1499"/>
              <w:gridCol w:w="1497"/>
              <w:gridCol w:w="1499"/>
              <w:gridCol w:w="14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污染源名称</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评价因子</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评价标准(μg/m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C</w:t>
                  </w:r>
                  <w:r>
                    <w:rPr>
                      <w:rFonts w:hint="default" w:ascii="Times New Roman" w:hAnsi="Times New Roman" w:cs="Times New Roman"/>
                      <w:sz w:val="21"/>
                      <w:szCs w:val="21"/>
                      <w:vertAlign w:val="subscript"/>
                    </w:rPr>
                    <w:t>max</w:t>
                  </w:r>
                </w:p>
                <w:p>
                  <w:pPr>
                    <w:jc w:val="center"/>
                    <w:rPr>
                      <w:rFonts w:hint="default" w:ascii="Times New Roman" w:hAnsi="Times New Roman" w:cs="Times New Roman"/>
                      <w:sz w:val="21"/>
                      <w:szCs w:val="21"/>
                    </w:rPr>
                  </w:pPr>
                  <w:r>
                    <w:rPr>
                      <w:rFonts w:hint="default" w:ascii="Times New Roman" w:hAnsi="Times New Roman" w:cs="Times New Roman"/>
                      <w:sz w:val="21"/>
                      <w:szCs w:val="21"/>
                    </w:rPr>
                    <w:t>(μg/m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w:t>
                  </w:r>
                  <w:r>
                    <w:rPr>
                      <w:rFonts w:hint="default" w:ascii="Times New Roman" w:hAnsi="Times New Roman" w:cs="Times New Roman"/>
                      <w:sz w:val="21"/>
                      <w:szCs w:val="21"/>
                      <w:vertAlign w:val="subscript"/>
                    </w:rPr>
                    <w:t>max</w:t>
                  </w:r>
                </w:p>
                <w:p>
                  <w:pPr>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D</w:t>
                  </w:r>
                  <w:r>
                    <w:rPr>
                      <w:rFonts w:hint="default" w:ascii="Times New Roman" w:hAnsi="Times New Roman" w:cs="Times New Roman"/>
                      <w:sz w:val="21"/>
                      <w:szCs w:val="21"/>
                      <w:vertAlign w:val="subscript"/>
                    </w:rPr>
                    <w:t>10%</w:t>
                  </w:r>
                </w:p>
                <w:p>
                  <w:pPr>
                    <w:jc w:val="center"/>
                    <w:rPr>
                      <w:rFonts w:hint="default" w:ascii="Times New Roman" w:hAnsi="Times New Roman" w:cs="Times New Roman"/>
                      <w:sz w:val="21"/>
                      <w:szCs w:val="21"/>
                    </w:rPr>
                  </w:pPr>
                  <w:r>
                    <w:rPr>
                      <w:rFonts w:hint="default" w:ascii="Times New Roman" w:hAnsi="Times New Roman"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97" w:type="dxa"/>
                  <w:vMerge w:val="restart"/>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锅炉</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4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900</w:t>
                  </w:r>
                </w:p>
              </w:tc>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rPr>
                    <w:t>0.4295</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10</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97" w:type="dxa"/>
                  <w:vMerge w:val="continue"/>
                  <w:tcBorders>
                    <w:tl2br w:val="nil"/>
                    <w:tr2bl w:val="nil"/>
                  </w:tcBorders>
                  <w:noWrap w:val="0"/>
                  <w:vAlign w:val="center"/>
                </w:tcPr>
                <w:p>
                  <w:pPr>
                    <w:jc w:val="center"/>
                    <w:rPr>
                      <w:rFonts w:hint="default" w:ascii="Times New Roman" w:hAnsi="Times New Roman" w:cs="Times New Roman"/>
                      <w:sz w:val="21"/>
                      <w:szCs w:val="21"/>
                      <w:lang w:eastAsia="zh-CN"/>
                    </w:rPr>
                  </w:pP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SO</w:t>
                  </w:r>
                  <w:r>
                    <w:rPr>
                      <w:rFonts w:hint="default" w:ascii="Times New Roman" w:hAnsi="Times New Roman" w:cs="Times New Roman"/>
                      <w:sz w:val="21"/>
                      <w:szCs w:val="21"/>
                      <w:vertAlign w:val="subscript"/>
                      <w:lang w:val="en-US" w:eastAsia="zh-CN"/>
                    </w:rPr>
                    <w:t>2</w:t>
                  </w:r>
                </w:p>
              </w:tc>
              <w:tc>
                <w:tcPr>
                  <w:tcW w:w="14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500</w:t>
                  </w:r>
                </w:p>
              </w:tc>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Cs w:val="21"/>
                    </w:rPr>
                    <w:t>0.09785</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0.02</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97" w:type="dxa"/>
                  <w:vMerge w:val="continue"/>
                  <w:tcBorders>
                    <w:tl2br w:val="nil"/>
                    <w:tr2bl w:val="nil"/>
                  </w:tcBorders>
                  <w:noWrap w:val="0"/>
                  <w:vAlign w:val="center"/>
                </w:tcPr>
                <w:p>
                  <w:pPr>
                    <w:jc w:val="center"/>
                    <w:rPr>
                      <w:rFonts w:hint="default" w:ascii="Times New Roman" w:hAnsi="Times New Roman" w:cs="Times New Roman"/>
                      <w:sz w:val="21"/>
                      <w:szCs w:val="21"/>
                      <w:lang w:eastAsia="zh-CN"/>
                    </w:rPr>
                  </w:pP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NO</w:t>
                  </w:r>
                  <w:r>
                    <w:rPr>
                      <w:rFonts w:hint="default" w:ascii="Times New Roman" w:hAnsi="Times New Roman" w:cs="Times New Roman"/>
                      <w:sz w:val="21"/>
                      <w:szCs w:val="21"/>
                      <w:vertAlign w:val="subscript"/>
                      <w:lang w:val="en-US" w:eastAsia="zh-CN"/>
                    </w:rPr>
                    <w:t>X</w:t>
                  </w:r>
                </w:p>
              </w:tc>
              <w:tc>
                <w:tcPr>
                  <w:tcW w:w="14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200</w:t>
                  </w:r>
                </w:p>
              </w:tc>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Cs w:val="21"/>
                    </w:rPr>
                    <w:t>1</w:t>
                  </w:r>
                </w:p>
              </w:tc>
              <w:tc>
                <w:tcPr>
                  <w:tcW w:w="149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0.50</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97"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发泡、打板、切割</w:t>
                  </w:r>
                </w:p>
              </w:tc>
              <w:tc>
                <w:tcPr>
                  <w:tcW w:w="1499" w:type="dxa"/>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NMHC</w:t>
                  </w:r>
                </w:p>
              </w:tc>
              <w:tc>
                <w:tcPr>
                  <w:tcW w:w="14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2000</w:t>
                  </w:r>
                </w:p>
              </w:tc>
              <w:tc>
                <w:tcPr>
                  <w:tcW w:w="149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rPr>
                    <w:t>6.79E-03</w:t>
                  </w:r>
                </w:p>
              </w:tc>
              <w:tc>
                <w:tcPr>
                  <w:tcW w:w="149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4.03</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97"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打浆</w:t>
                  </w:r>
                </w:p>
              </w:tc>
              <w:tc>
                <w:tcPr>
                  <w:tcW w:w="1499" w:type="dxa"/>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499" w:type="dxa"/>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900</w:t>
                  </w:r>
                </w:p>
              </w:tc>
              <w:tc>
                <w:tcPr>
                  <w:tcW w:w="1497" w:type="dxa"/>
                  <w:tcBorders>
                    <w:tl2br w:val="nil"/>
                    <w:tr2bl w:val="nil"/>
                  </w:tcBorders>
                  <w:noWrap w:val="0"/>
                  <w:vAlign w:val="center"/>
                </w:tcPr>
                <w:p>
                  <w:pPr>
                    <w:jc w:val="center"/>
                    <w:rPr>
                      <w:rFonts w:hint="default" w:ascii="Times New Roman" w:hAnsi="Times New Roman" w:cs="Times New Roman"/>
                      <w:highlight w:val="none"/>
                    </w:rPr>
                  </w:pPr>
                  <w:r>
                    <w:rPr>
                      <w:rFonts w:hint="default" w:ascii="Times New Roman" w:hAnsi="Times New Roman" w:cs="Times New Roman"/>
                      <w:highlight w:val="none"/>
                    </w:rPr>
                    <w:t>0.04101</w:t>
                  </w:r>
                </w:p>
              </w:tc>
              <w:tc>
                <w:tcPr>
                  <w:tcW w:w="1499" w:type="dxa"/>
                  <w:tcBorders>
                    <w:tl2br w:val="nil"/>
                    <w:tr2bl w:val="nil"/>
                  </w:tcBorders>
                  <w:noWrap w:val="0"/>
                  <w:vAlign w:val="center"/>
                </w:tcPr>
                <w:p>
                  <w:pPr>
                    <w:jc w:val="center"/>
                    <w:rPr>
                      <w:rFonts w:hint="default" w:ascii="Times New Roman" w:hAnsi="Times New Roman" w:cs="Times New Roman"/>
                      <w:sz w:val="21"/>
                      <w:szCs w:val="21"/>
                      <w:highlight w:val="yellow"/>
                      <w:lang w:val="en-US" w:eastAsia="zh-CN"/>
                    </w:rPr>
                  </w:pPr>
                  <w:r>
                    <w:rPr>
                      <w:rFonts w:hint="default" w:ascii="Times New Roman" w:hAnsi="Times New Roman" w:cs="Times New Roman"/>
                      <w:sz w:val="21"/>
                      <w:szCs w:val="21"/>
                      <w:highlight w:val="none"/>
                    </w:rPr>
                    <w:t>0.</w:t>
                  </w:r>
                  <w:r>
                    <w:rPr>
                      <w:rFonts w:hint="default" w:ascii="Times New Roman" w:hAnsi="Times New Roman" w:cs="Times New Roman"/>
                      <w:sz w:val="21"/>
                      <w:szCs w:val="21"/>
                      <w:highlight w:val="none"/>
                      <w:lang w:val="en-US" w:eastAsia="zh-CN"/>
                    </w:rPr>
                    <w:t>10</w:t>
                  </w:r>
                </w:p>
              </w:tc>
              <w:tc>
                <w:tcPr>
                  <w:tcW w:w="149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未出现</w:t>
                  </w:r>
                </w:p>
              </w:tc>
            </w:tr>
          </w:tbl>
          <w:p>
            <w:pPr>
              <w:pStyle w:val="71"/>
              <w:spacing w:line="240" w:lineRule="auto"/>
              <w:ind w:firstLine="0"/>
              <w:jc w:val="center"/>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kern w:val="2"/>
                <w:sz w:val="24"/>
                <w:szCs w:val="24"/>
                <w:lang w:val="en-US" w:eastAsia="zh-CN" w:bidi="ar-SA"/>
              </w:rPr>
              <w:t>表17  项目有组织废气预测结果一览表</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65"/>
              <w:gridCol w:w="1215"/>
              <w:gridCol w:w="1367"/>
              <w:gridCol w:w="1224"/>
              <w:gridCol w:w="1375"/>
              <w:gridCol w:w="13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restart"/>
                  <w:tcBorders>
                    <w:top w:val="single" w:color="auto" w:sz="12"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w:t>
                  </w:r>
                </w:p>
              </w:tc>
              <w:tc>
                <w:tcPr>
                  <w:tcW w:w="7923" w:type="dxa"/>
                  <w:gridSpan w:val="6"/>
                  <w:tcBorders>
                    <w:top w:val="single" w:color="auto" w:sz="12"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rPr>
                    <w:t>#</w:t>
                  </w:r>
                  <w:r>
                    <w:rPr>
                      <w:rFonts w:hint="default" w:ascii="Times New Roman" w:hAnsi="Times New Roman" w:cs="Times New Roman"/>
                      <w:color w:val="000000"/>
                      <w:szCs w:val="21"/>
                      <w:lang w:eastAsia="zh-CN"/>
                    </w:rPr>
                    <w:t>锅炉</w:t>
                  </w:r>
                  <w:r>
                    <w:rPr>
                      <w:rFonts w:hint="default" w:ascii="Times New Roman" w:hAnsi="Times New Roman" w:cs="Times New Roman"/>
                      <w:color w:val="000000"/>
                      <w:szCs w:val="21"/>
                    </w:rPr>
                    <w:t>有组织废气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tcBorders>
                    <w:top w:val="single" w:color="auto" w:sz="12"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Cs w:val="21"/>
                    </w:rPr>
                  </w:pPr>
                </w:p>
              </w:tc>
              <w:tc>
                <w:tcPr>
                  <w:tcW w:w="2580" w:type="dxa"/>
                  <w:gridSpan w:val="2"/>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烟尘（粉尘）</w:t>
                  </w:r>
                </w:p>
              </w:tc>
              <w:tc>
                <w:tcPr>
                  <w:tcW w:w="2591" w:type="dxa"/>
                  <w:gridSpan w:val="2"/>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二氧化硫</w:t>
                  </w:r>
                </w:p>
              </w:tc>
              <w:tc>
                <w:tcPr>
                  <w:tcW w:w="2752" w:type="dxa"/>
                  <w:gridSpan w:val="2"/>
                  <w:tcBorders>
                    <w:top w:val="single" w:color="auto" w:sz="4" w:space="0"/>
                    <w:left w:val="single" w:color="auto" w:sz="4" w:space="0"/>
                    <w:bottom w:val="single" w:color="auto" w:sz="4" w:space="0"/>
                    <w:right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氮氧化物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tcBorders>
                    <w:top w:val="single" w:color="auto" w:sz="12"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C(mg/m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1215"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Pi(%)</w:t>
                  </w:r>
                </w:p>
              </w:tc>
              <w:tc>
                <w:tcPr>
                  <w:tcW w:w="1367"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C(mg/m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1224"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Pi(%)</w:t>
                  </w:r>
                </w:p>
              </w:tc>
              <w:tc>
                <w:tcPr>
                  <w:tcW w:w="1375"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C(mg/m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1377"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10</w:t>
                  </w:r>
                </w:p>
              </w:tc>
              <w:tc>
                <w:tcPr>
                  <w:tcW w:w="1365" w:type="dxa"/>
                  <w:tcBorders>
                    <w:top w:val="single" w:color="auto" w:sz="4" w:space="0"/>
                    <w:left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0</w:t>
                  </w:r>
                </w:p>
              </w:tc>
              <w:tc>
                <w:tcPr>
                  <w:tcW w:w="1215" w:type="dxa"/>
                  <w:tcBorders>
                    <w:top w:val="single" w:color="auto" w:sz="4" w:space="0"/>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367" w:type="dxa"/>
                  <w:tcBorders>
                    <w:top w:val="single" w:color="auto" w:sz="4" w:space="0"/>
                    <w:left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0</w:t>
                  </w:r>
                </w:p>
              </w:tc>
              <w:tc>
                <w:tcPr>
                  <w:tcW w:w="1224" w:type="dxa"/>
                  <w:tcBorders>
                    <w:top w:val="single" w:color="auto" w:sz="4" w:space="0"/>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375" w:type="dxa"/>
                  <w:tcBorders>
                    <w:top w:val="single" w:color="auto" w:sz="4" w:space="0"/>
                    <w:left w:val="single" w:color="auto" w:sz="4" w:space="0"/>
                    <w:right w:val="nil"/>
                  </w:tcBorders>
                  <w:noWrap w:val="0"/>
                  <w:vAlign w:val="bottom"/>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0</w:t>
                  </w:r>
                </w:p>
              </w:tc>
              <w:tc>
                <w:tcPr>
                  <w:tcW w:w="1377" w:type="dxa"/>
                  <w:tcBorders>
                    <w:top w:val="single" w:color="auto" w:sz="4" w:space="0"/>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0.0002975</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0.07</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0.00006778</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0.000693</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50</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0.0004255</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0.09</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0.00009695</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0.000991</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75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0.0004295</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0.10</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0.00009785</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0.001</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100</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0.0004136</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0.09</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0.00009424</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0.000963</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125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0.0003764</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0.08</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0.00008576</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0.000877</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150</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0.0003635</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0.08</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0.00008283</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0.000847</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175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0.0003443</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0.08</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0.00007846</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0.02</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0.000802</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200</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0.0003237</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0.07</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0.00007375</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0.000754</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225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0.0003019</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0.07</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0.00006879</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0.000703</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250</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0.0002862</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0.06</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0.00006522</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0.000667</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275</w:t>
                  </w:r>
                </w:p>
              </w:tc>
              <w:tc>
                <w:tcPr>
                  <w:tcW w:w="136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0.0002681</w:t>
                  </w:r>
                </w:p>
              </w:tc>
              <w:tc>
                <w:tcPr>
                  <w:tcW w:w="1215"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0.06</w:t>
                  </w:r>
                </w:p>
              </w:tc>
              <w:tc>
                <w:tcPr>
                  <w:tcW w:w="1367" w:type="dxa"/>
                  <w:tcBorders>
                    <w:left w:val="single" w:color="auto" w:sz="4" w:space="0"/>
                    <w:right w:val="single" w:color="auto" w:sz="4" w:space="0"/>
                  </w:tcBorders>
                  <w:noWrap w:val="0"/>
                  <w:vAlign w:val="center"/>
                </w:tcPr>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0.00006109</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0.000749</w:t>
                  </w:r>
                </w:p>
              </w:tc>
              <w:tc>
                <w:tcPr>
                  <w:tcW w:w="1377"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300</w:t>
                  </w:r>
                </w:p>
              </w:tc>
              <w:tc>
                <w:tcPr>
                  <w:tcW w:w="136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0.0002032</w:t>
                  </w:r>
                </w:p>
              </w:tc>
              <w:tc>
                <w:tcPr>
                  <w:tcW w:w="121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0.05</w:t>
                  </w:r>
                </w:p>
              </w:tc>
              <w:tc>
                <w:tcPr>
                  <w:tcW w:w="1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0.0000463</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0.000473</w:t>
                  </w:r>
                </w:p>
              </w:tc>
              <w:tc>
                <w:tcPr>
                  <w:tcW w:w="1377"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325</w:t>
                  </w:r>
                </w:p>
              </w:tc>
              <w:tc>
                <w:tcPr>
                  <w:tcW w:w="136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0.0001764</w:t>
                  </w:r>
                </w:p>
              </w:tc>
              <w:tc>
                <w:tcPr>
                  <w:tcW w:w="121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0.04</w:t>
                  </w:r>
                </w:p>
              </w:tc>
              <w:tc>
                <w:tcPr>
                  <w:tcW w:w="1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0.00004019</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0.000411</w:t>
                  </w:r>
                </w:p>
              </w:tc>
              <w:tc>
                <w:tcPr>
                  <w:tcW w:w="1377"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350</w:t>
                  </w:r>
                </w:p>
              </w:tc>
              <w:tc>
                <w:tcPr>
                  <w:tcW w:w="136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0.0001744</w:t>
                  </w:r>
                </w:p>
              </w:tc>
              <w:tc>
                <w:tcPr>
                  <w:tcW w:w="1215"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0.04</w:t>
                  </w:r>
                </w:p>
              </w:tc>
              <w:tc>
                <w:tcPr>
                  <w:tcW w:w="1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0.00003973</w:t>
                  </w:r>
                </w:p>
              </w:tc>
              <w:tc>
                <w:tcPr>
                  <w:tcW w:w="1224" w:type="dxa"/>
                  <w:tcBorders>
                    <w:left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cs="Times New Roman"/>
                    </w:rPr>
                    <w:t>0.01</w:t>
                  </w:r>
                </w:p>
              </w:tc>
              <w:tc>
                <w:tcPr>
                  <w:tcW w:w="1375"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0.000406</w:t>
                  </w:r>
                </w:p>
              </w:tc>
              <w:tc>
                <w:tcPr>
                  <w:tcW w:w="1377" w:type="dxa"/>
                  <w:tcBorders>
                    <w:left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375</w:t>
                  </w:r>
                </w:p>
              </w:tc>
              <w:tc>
                <w:tcPr>
                  <w:tcW w:w="1365"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0.0004295</w:t>
                  </w:r>
                </w:p>
              </w:tc>
              <w:tc>
                <w:tcPr>
                  <w:tcW w:w="1215"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0.10</w:t>
                  </w:r>
                </w:p>
              </w:tc>
              <w:tc>
                <w:tcPr>
                  <w:tcW w:w="1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0.00009785</w:t>
                  </w:r>
                </w:p>
              </w:tc>
              <w:tc>
                <w:tcPr>
                  <w:tcW w:w="1224" w:type="dxa"/>
                  <w:tcBorders>
                    <w:left w:val="single" w:color="auto" w:sz="4" w:space="0"/>
                    <w:bottom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0.02</w:t>
                  </w:r>
                </w:p>
              </w:tc>
              <w:tc>
                <w:tcPr>
                  <w:tcW w:w="1375" w:type="dxa"/>
                  <w:tcBorders>
                    <w:left w:val="single" w:color="auto" w:sz="4" w:space="0"/>
                    <w:bottom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0.001</w:t>
                  </w:r>
                </w:p>
              </w:tc>
              <w:tc>
                <w:tcPr>
                  <w:tcW w:w="1377" w:type="dxa"/>
                  <w:tcBorders>
                    <w:left w:val="single" w:color="auto" w:sz="4" w:space="0"/>
                    <w:bottom w:val="single" w:color="auto" w:sz="4" w:space="0"/>
                    <w:right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nil"/>
                    <w:bottom w:val="single" w:color="auto" w:sz="12"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Dmax/m</w:t>
                  </w:r>
                </w:p>
              </w:tc>
              <w:tc>
                <w:tcPr>
                  <w:tcW w:w="2580" w:type="dxa"/>
                  <w:gridSpan w:val="2"/>
                  <w:tcBorders>
                    <w:top w:val="single" w:color="auto" w:sz="4" w:space="0"/>
                    <w:left w:val="single" w:color="auto" w:sz="4" w:space="0"/>
                    <w:bottom w:val="single" w:color="auto" w:sz="12"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216</w:t>
                  </w:r>
                </w:p>
              </w:tc>
              <w:tc>
                <w:tcPr>
                  <w:tcW w:w="2591" w:type="dxa"/>
                  <w:gridSpan w:val="2"/>
                  <w:tcBorders>
                    <w:top w:val="single" w:color="auto" w:sz="4" w:space="0"/>
                    <w:left w:val="single" w:color="auto" w:sz="4" w:space="0"/>
                    <w:bottom w:val="single" w:color="auto" w:sz="12"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216</w:t>
                  </w:r>
                </w:p>
              </w:tc>
              <w:tc>
                <w:tcPr>
                  <w:tcW w:w="2752" w:type="dxa"/>
                  <w:gridSpan w:val="2"/>
                  <w:tcBorders>
                    <w:top w:val="single" w:color="auto" w:sz="4" w:space="0"/>
                    <w:left w:val="single" w:color="auto" w:sz="4" w:space="0"/>
                    <w:bottom w:val="single" w:color="auto" w:sz="12" w:space="0"/>
                    <w:right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216</w:t>
                  </w:r>
                </w:p>
              </w:tc>
            </w:tr>
          </w:tbl>
          <w:p>
            <w:pPr>
              <w:pStyle w:val="71"/>
              <w:spacing w:line="240" w:lineRule="auto"/>
              <w:ind w:firstLine="0"/>
              <w:jc w:val="center"/>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kern w:val="2"/>
                <w:sz w:val="24"/>
                <w:szCs w:val="24"/>
                <w:lang w:val="en-US" w:eastAsia="zh-CN" w:bidi="ar-SA"/>
              </w:rPr>
              <w:t>表18  项目有组织废气预测结果一览表</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3367"/>
              <w:gridCol w:w="29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restart"/>
                  <w:tcBorders>
                    <w:top w:val="single" w:color="auto" w:sz="12"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w:t>
                  </w:r>
                </w:p>
              </w:tc>
              <w:tc>
                <w:tcPr>
                  <w:tcW w:w="6364" w:type="dxa"/>
                  <w:gridSpan w:val="2"/>
                  <w:tcBorders>
                    <w:top w:val="single" w:color="auto" w:sz="12"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sz w:val="21"/>
                      <w:szCs w:val="21"/>
                      <w:highlight w:val="none"/>
                      <w:lang w:eastAsia="zh-CN"/>
                    </w:rPr>
                    <w:t>发泡、打板、切割废气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continue"/>
                  <w:tcBorders>
                    <w:top w:val="single" w:color="auto" w:sz="12"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Cs w:val="21"/>
                    </w:rPr>
                  </w:pPr>
                </w:p>
              </w:tc>
              <w:tc>
                <w:tcPr>
                  <w:tcW w:w="6364" w:type="dxa"/>
                  <w:gridSpan w:val="2"/>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continue"/>
                  <w:tcBorders>
                    <w:top w:val="single" w:color="auto" w:sz="12"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Cs w:val="21"/>
                    </w:rPr>
                  </w:pPr>
                </w:p>
              </w:tc>
              <w:tc>
                <w:tcPr>
                  <w:tcW w:w="3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C(mg/m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2997"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10</w:t>
                  </w:r>
                </w:p>
              </w:tc>
              <w:tc>
                <w:tcPr>
                  <w:tcW w:w="3367" w:type="dxa"/>
                  <w:tcBorders>
                    <w:top w:val="single" w:color="auto" w:sz="4" w:space="0"/>
                    <w:left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1.68E-07</w:t>
                  </w:r>
                </w:p>
              </w:tc>
              <w:tc>
                <w:tcPr>
                  <w:tcW w:w="2997" w:type="dxa"/>
                  <w:tcBorders>
                    <w:top w:val="single" w:color="auto" w:sz="4" w:space="0"/>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4.58E-04</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50</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1.97E-03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75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2.81E-03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100</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2.68E-03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125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2.33E-03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150</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2.44E-03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175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2.56E-03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200</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2.64E-03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225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2.67E-03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250</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3.33E-03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275</w:t>
                  </w:r>
                </w:p>
              </w:tc>
              <w:tc>
                <w:tcPr>
                  <w:tcW w:w="336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4.10E-03</w:t>
                  </w:r>
                </w:p>
              </w:tc>
              <w:tc>
                <w:tcPr>
                  <w:tcW w:w="2997" w:type="dxa"/>
                  <w:tcBorders>
                    <w:left w:val="single" w:color="auto" w:sz="4" w:space="0"/>
                    <w:right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300</w:t>
                  </w:r>
                </w:p>
              </w:tc>
              <w:tc>
                <w:tcPr>
                  <w:tcW w:w="3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4.76E-03</w:t>
                  </w:r>
                </w:p>
              </w:tc>
              <w:tc>
                <w:tcPr>
                  <w:tcW w:w="299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2.43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325</w:t>
                  </w:r>
                </w:p>
              </w:tc>
              <w:tc>
                <w:tcPr>
                  <w:tcW w:w="3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5.30E-03</w:t>
                  </w:r>
                </w:p>
              </w:tc>
              <w:tc>
                <w:tcPr>
                  <w:tcW w:w="299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2.82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350</w:t>
                  </w:r>
                </w:p>
              </w:tc>
              <w:tc>
                <w:tcPr>
                  <w:tcW w:w="336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5.74E-03</w:t>
                  </w:r>
                </w:p>
              </w:tc>
              <w:tc>
                <w:tcPr>
                  <w:tcW w:w="2997" w:type="dxa"/>
                  <w:tcBorders>
                    <w:left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375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6.08E-03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400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6.33E-03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425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6.52E-03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450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6.65E-03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475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6.73E-03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500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521</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6.79E-03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525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6.79E-03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550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6.77E-03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575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6.73E-03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600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6.67E-03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625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6.59E-03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650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6.49E-03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675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6.38E-03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700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6.28E-03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725</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6.18E-03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4" w:space="0"/>
                    <w:right w:val="single" w:color="auto" w:sz="4" w:space="0"/>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750</w:t>
                  </w:r>
                </w:p>
              </w:tc>
              <w:tc>
                <w:tcPr>
                  <w:tcW w:w="336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6.08E-03</w:t>
                  </w:r>
                </w:p>
              </w:tc>
              <w:tc>
                <w:tcPr>
                  <w:tcW w:w="2997" w:type="dxa"/>
                  <w:tcBorders>
                    <w:left w:val="single" w:color="auto" w:sz="4" w:space="0"/>
                    <w:bottom w:val="single" w:color="auto" w:sz="4" w:space="0"/>
                    <w:right w:val="single" w:color="auto" w:sz="4" w:space="0"/>
                  </w:tcBorders>
                  <w:noWrap w:val="0"/>
                  <w:vAlign w:val="bottom"/>
                </w:tcPr>
                <w:p>
                  <w:pPr>
                    <w:jc w:val="center"/>
                    <w:rPr>
                      <w:rFonts w:hint="default" w:ascii="Times New Roman" w:hAnsi="Times New Roman" w:cs="Times New Roman"/>
                    </w:rPr>
                  </w:pPr>
                  <w:r>
                    <w:rPr>
                      <w:rFonts w:hint="default" w:ascii="Times New Roman" w:hAnsi="Times New Roman" w:cs="Times New Roman"/>
                    </w:rPr>
                    <w:t>3.67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op w:val="single" w:color="auto" w:sz="4" w:space="0"/>
                    <w:left w:val="nil"/>
                    <w:bottom w:val="single" w:color="auto" w:sz="12"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Dmax/m</w:t>
                  </w:r>
                </w:p>
              </w:tc>
              <w:tc>
                <w:tcPr>
                  <w:tcW w:w="6364" w:type="dxa"/>
                  <w:gridSpan w:val="2"/>
                  <w:tcBorders>
                    <w:top w:val="single" w:color="auto" w:sz="4" w:space="0"/>
                    <w:left w:val="single" w:color="auto" w:sz="4" w:space="0"/>
                    <w:bottom w:val="single" w:color="auto" w:sz="12" w:space="0"/>
                    <w:right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525</w:t>
                  </w:r>
                </w:p>
              </w:tc>
            </w:tr>
          </w:tbl>
          <w:p>
            <w:pPr>
              <w:ind w:firstLine="361" w:firstLineChars="200"/>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注：D——距源中心下风向距离；C——下风向预测浓度；Pi——浓度占标率。</w:t>
            </w:r>
          </w:p>
          <w:p>
            <w:pPr>
              <w:pStyle w:val="71"/>
              <w:spacing w:line="240" w:lineRule="auto"/>
              <w:ind w:firstLine="0"/>
              <w:jc w:val="center"/>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kern w:val="2"/>
                <w:sz w:val="24"/>
                <w:szCs w:val="24"/>
                <w:lang w:val="en-US" w:eastAsia="zh-CN" w:bidi="ar-SA"/>
              </w:rPr>
              <w:t>表19  项目有组织废气预测结果一览表</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3367"/>
              <w:gridCol w:w="29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w:t>
                  </w:r>
                </w:p>
              </w:tc>
              <w:tc>
                <w:tcPr>
                  <w:tcW w:w="6364" w:type="dxa"/>
                  <w:gridSpan w:val="2"/>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sz w:val="21"/>
                      <w:szCs w:val="21"/>
                      <w:highlight w:val="none"/>
                      <w:lang w:eastAsia="zh-CN"/>
                    </w:rPr>
                    <w:t>打浆废气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continue"/>
                  <w:tcBorders>
                    <w:tl2br w:val="nil"/>
                    <w:tr2bl w:val="nil"/>
                  </w:tcBorders>
                  <w:noWrap w:val="0"/>
                  <w:vAlign w:val="center"/>
                </w:tcPr>
                <w:p>
                  <w:pPr>
                    <w:widowControl/>
                    <w:jc w:val="center"/>
                    <w:rPr>
                      <w:rFonts w:hint="default" w:ascii="Times New Roman" w:hAnsi="Times New Roman" w:cs="Times New Roman"/>
                      <w:color w:val="000000"/>
                      <w:szCs w:val="21"/>
                    </w:rPr>
                  </w:pPr>
                </w:p>
              </w:tc>
              <w:tc>
                <w:tcPr>
                  <w:tcW w:w="6364" w:type="dxa"/>
                  <w:gridSpan w:val="2"/>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vMerge w:val="continue"/>
                  <w:tcBorders>
                    <w:tl2br w:val="nil"/>
                    <w:tr2bl w:val="nil"/>
                  </w:tcBorders>
                  <w:noWrap w:val="0"/>
                  <w:vAlign w:val="center"/>
                </w:tcPr>
                <w:p>
                  <w:pPr>
                    <w:widowControl/>
                    <w:jc w:val="center"/>
                    <w:rPr>
                      <w:rFonts w:hint="default" w:ascii="Times New Roman" w:hAnsi="Times New Roman" w:cs="Times New Roman"/>
                      <w:color w:val="000000"/>
                      <w:szCs w:val="21"/>
                    </w:rPr>
                  </w:pPr>
                </w:p>
              </w:tc>
              <w:tc>
                <w:tcPr>
                  <w:tcW w:w="336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C(mg/m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299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10</w:t>
                  </w:r>
                </w:p>
              </w:tc>
              <w:tc>
                <w:tcPr>
                  <w:tcW w:w="3367" w:type="dxa"/>
                  <w:tcBorders>
                    <w:tl2br w:val="nil"/>
                    <w:tr2bl w:val="nil"/>
                  </w:tcBorders>
                  <w:noWrap w:val="0"/>
                  <w:vAlign w:val="top"/>
                </w:tcPr>
                <w:p>
                  <w:pPr>
                    <w:snapToGrid w:val="0"/>
                    <w:spacing w:before="31" w:beforeLines="10" w:after="31" w:afterLines="10"/>
                    <w:jc w:val="center"/>
                    <w:rPr>
                      <w:rFonts w:hint="default" w:ascii="Times New Roman" w:hAnsi="Times New Roman" w:cs="Times New Roman"/>
                      <w:color w:val="000000"/>
                      <w:kern w:val="0"/>
                      <w:szCs w:val="21"/>
                    </w:rPr>
                  </w:pPr>
                  <w:r>
                    <w:rPr>
                      <w:rFonts w:hint="default" w:ascii="Times New Roman" w:hAnsi="Times New Roman" w:cs="Times New Roman"/>
                      <w:snapToGrid w:val="0"/>
                      <w:szCs w:val="21"/>
                      <w:highlight w:val="none"/>
                    </w:rPr>
                    <w:t>0.00</w:t>
                  </w:r>
                </w:p>
              </w:tc>
              <w:tc>
                <w:tcPr>
                  <w:tcW w:w="2997"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color w:val="000000"/>
                      <w:szCs w:val="21"/>
                    </w:rPr>
                  </w:pPr>
                  <w:r>
                    <w:rPr>
                      <w:rFonts w:hint="default" w:ascii="Times New Roman" w:hAnsi="Times New Roman" w:cs="Times New Roman"/>
                      <w:snapToGrid w:val="0"/>
                      <w:szCs w:val="21"/>
                      <w:highlight w:val="no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0.03828</w:t>
                  </w:r>
                </w:p>
              </w:tc>
              <w:tc>
                <w:tcPr>
                  <w:tcW w:w="2997"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rPr>
                  </w:pPr>
                  <w:r>
                    <w:rPr>
                      <w:rFonts w:hint="default" w:ascii="Times New Roman" w:hAnsi="Times New Roman" w:cs="Times New Roman"/>
                      <w:snapToGrid w:val="0"/>
                      <w:szCs w:val="21"/>
                      <w:highlight w:val="none"/>
                      <w:lang w:val="en-US" w:eastAsia="zh-CN"/>
                    </w:rPr>
                    <w:t>8.51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50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0.03882</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8.63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75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0.03674</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8.16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100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0.03332</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125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0.02921</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150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0.02713</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175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0.02438</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5.42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200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0.02164</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4.81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225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0.01916</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250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0.01699</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top"/>
                </w:tcPr>
                <w:p>
                  <w:pPr>
                    <w:jc w:val="center"/>
                    <w:rPr>
                      <w:rFonts w:hint="default" w:ascii="Times New Roman" w:hAnsi="Times New Roman" w:cs="Times New Roman"/>
                      <w:color w:val="000000"/>
                      <w:szCs w:val="21"/>
                    </w:rPr>
                  </w:pPr>
                  <w:r>
                    <w:rPr>
                      <w:rFonts w:hint="default" w:ascii="Times New Roman" w:hAnsi="Times New Roman" w:cs="Times New Roman"/>
                    </w:rPr>
                    <w:t>275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0.01522</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300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0.01371</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3.05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325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0.01355</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3.01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350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0.01365</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3.03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375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0.01365</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2"/>
                      <w:szCs w:val="22"/>
                      <w:u w:val="none"/>
                      <w:lang w:val="en-US" w:eastAsia="zh-CN" w:bidi="ar"/>
                    </w:rPr>
                    <w:t>3.03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400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0.01355</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425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0.01339</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450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0.01318</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475</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0.01293</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bottom"/>
                </w:tcPr>
                <w:p>
                  <w:pPr>
                    <w:jc w:val="center"/>
                    <w:rPr>
                      <w:rFonts w:hint="default" w:ascii="Times New Roman" w:hAnsi="Times New Roman" w:cs="Times New Roman"/>
                      <w:color w:val="000000"/>
                      <w:szCs w:val="21"/>
                    </w:rPr>
                  </w:pPr>
                  <w:r>
                    <w:rPr>
                      <w:rFonts w:hint="default" w:ascii="Times New Roman" w:hAnsi="Times New Roman" w:cs="Times New Roman"/>
                    </w:rPr>
                    <w:t>500</w:t>
                  </w:r>
                </w:p>
              </w:tc>
              <w:tc>
                <w:tcPr>
                  <w:tcW w:w="336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0.01266</w:t>
                  </w:r>
                </w:p>
              </w:tc>
              <w:tc>
                <w:tcPr>
                  <w:tcW w:w="299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2"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Dmax/m</w:t>
                  </w:r>
                </w:p>
              </w:tc>
              <w:tc>
                <w:tcPr>
                  <w:tcW w:w="6364" w:type="dxa"/>
                  <w:gridSpan w:val="2"/>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131</w:t>
                  </w:r>
                </w:p>
              </w:tc>
            </w:tr>
          </w:tbl>
          <w:p>
            <w:pPr>
              <w:spacing w:line="480" w:lineRule="exact"/>
              <w:ind w:firstLine="422" w:firstLineChars="176"/>
              <w:rPr>
                <w:rFonts w:hint="default" w:ascii="Times New Roman" w:hAnsi="Times New Roman" w:cs="Times New Roman"/>
                <w:sz w:val="24"/>
                <w:szCs w:val="24"/>
              </w:rPr>
            </w:pPr>
            <w:r>
              <w:rPr>
                <w:rFonts w:hint="default" w:ascii="Times New Roman" w:hAnsi="Times New Roman" w:cs="Times New Roman"/>
                <w:sz w:val="24"/>
                <w:szCs w:val="24"/>
              </w:rPr>
              <w:t>综合以上分析，根据《环境影响评价技术导则 大气环境》(HJ2.2-2018)分级判据，确定本项目大气环境影响评价工作等级为</w:t>
            </w:r>
            <w:r>
              <w:rPr>
                <w:rFonts w:hint="default" w:ascii="Times New Roman" w:hAnsi="Times New Roman" w:cs="Times New Roman"/>
                <w:sz w:val="24"/>
                <w:szCs w:val="24"/>
                <w:lang w:eastAsia="zh-CN"/>
              </w:rPr>
              <w:t>三</w:t>
            </w:r>
            <w:r>
              <w:rPr>
                <w:rFonts w:hint="default" w:ascii="Times New Roman" w:hAnsi="Times New Roman" w:cs="Times New Roman"/>
                <w:sz w:val="24"/>
                <w:szCs w:val="24"/>
              </w:rPr>
              <w:t>级。根据《环境影响评价技术导则 大气环境》(HJ2.2-2018)要求，对</w:t>
            </w:r>
            <w:r>
              <w:rPr>
                <w:rFonts w:hint="default" w:ascii="Times New Roman" w:hAnsi="Times New Roman" w:cs="Times New Roman"/>
                <w:sz w:val="24"/>
                <w:szCs w:val="24"/>
                <w:lang w:eastAsia="zh-CN"/>
              </w:rPr>
              <w:t>三</w:t>
            </w:r>
            <w:r>
              <w:rPr>
                <w:rFonts w:hint="default" w:ascii="Times New Roman" w:hAnsi="Times New Roman" w:cs="Times New Roman"/>
                <w:sz w:val="24"/>
                <w:szCs w:val="24"/>
              </w:rPr>
              <w:t>级评价项目不进行进一步预测与评价，仅对污染物排放量进行核算。</w:t>
            </w:r>
          </w:p>
          <w:p>
            <w:pPr>
              <w:spacing w:line="360" w:lineRule="auto"/>
              <w:ind w:firstLine="482"/>
              <w:rPr>
                <w:rFonts w:hint="default" w:ascii="Times New Roman" w:hAnsi="Times New Roman" w:cs="Times New Roman"/>
                <w:color w:val="auto"/>
                <w:sz w:val="24"/>
                <w:szCs w:val="32"/>
                <w:lang w:val="en-US" w:eastAsia="zh-CN"/>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污</w:t>
            </w:r>
            <w:r>
              <w:rPr>
                <w:rFonts w:hint="default" w:ascii="Times New Roman" w:hAnsi="Times New Roman" w:cs="Times New Roman"/>
                <w:sz w:val="24"/>
                <w:szCs w:val="24"/>
                <w:lang w:val="en-US" w:eastAsia="zh-CN"/>
              </w:rPr>
              <w:t>染物排放量核</w:t>
            </w:r>
            <w:r>
              <w:rPr>
                <w:rFonts w:hint="default" w:ascii="Times New Roman" w:hAnsi="Times New Roman" w:cs="Times New Roman"/>
                <w:color w:val="auto"/>
                <w:sz w:val="24"/>
                <w:szCs w:val="32"/>
                <w:lang w:val="en-US" w:eastAsia="zh-CN"/>
              </w:rPr>
              <w:t>算</w:t>
            </w:r>
          </w:p>
          <w:p>
            <w:pPr>
              <w:spacing w:line="360" w:lineRule="auto"/>
              <w:ind w:firstLine="482"/>
              <w:rPr>
                <w:rFonts w:hint="default" w:ascii="Times New Roman" w:hAnsi="Times New Roman" w:cs="Times New Roman"/>
                <w:color w:val="auto"/>
                <w:sz w:val="24"/>
                <w:szCs w:val="32"/>
                <w:lang w:eastAsia="zh-CN"/>
              </w:rPr>
            </w:pPr>
            <w:r>
              <w:rPr>
                <w:rFonts w:hint="default" w:ascii="Times New Roman" w:hAnsi="Times New Roman" w:cs="Times New Roman"/>
                <w:color w:val="auto"/>
                <w:sz w:val="24"/>
                <w:szCs w:val="32"/>
              </w:rPr>
              <w:t>①燃气</w:t>
            </w:r>
            <w:r>
              <w:rPr>
                <w:rFonts w:hint="default" w:ascii="Times New Roman" w:hAnsi="Times New Roman" w:cs="Times New Roman"/>
                <w:color w:val="auto"/>
                <w:sz w:val="24"/>
                <w:szCs w:val="32"/>
                <w:lang w:eastAsia="zh-CN"/>
              </w:rPr>
              <w:t>锅炉</w:t>
            </w:r>
          </w:p>
          <w:p>
            <w:pPr>
              <w:spacing w:line="360" w:lineRule="auto"/>
              <w:ind w:firstLine="482"/>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新建锅炉以天然气为燃料，天然气用量为4.</w:t>
            </w:r>
            <w:r>
              <w:rPr>
                <w:rFonts w:hint="default" w:ascii="Times New Roman" w:hAnsi="Times New Roman" w:cs="Times New Roman"/>
                <w:color w:val="auto"/>
                <w:sz w:val="24"/>
                <w:szCs w:val="32"/>
                <w:lang w:val="en-US" w:eastAsia="zh-CN"/>
              </w:rPr>
              <w:t>5</w:t>
            </w:r>
            <w:r>
              <w:rPr>
                <w:rFonts w:hint="default" w:ascii="Times New Roman" w:hAnsi="Times New Roman" w:cs="Times New Roman"/>
                <w:color w:val="auto"/>
                <w:sz w:val="24"/>
                <w:szCs w:val="32"/>
              </w:rPr>
              <w:t>×10</w:t>
            </w:r>
            <w:r>
              <w:rPr>
                <w:rFonts w:hint="default" w:ascii="Times New Roman" w:hAnsi="Times New Roman" w:cs="Times New Roman"/>
                <w:color w:val="auto"/>
                <w:sz w:val="24"/>
                <w:szCs w:val="32"/>
                <w:vertAlign w:val="superscript"/>
              </w:rPr>
              <w:t>4</w:t>
            </w:r>
            <w:r>
              <w:rPr>
                <w:rFonts w:hint="default" w:ascii="Times New Roman" w:hAnsi="Times New Roman" w:cs="Times New Roman"/>
                <w:color w:val="auto"/>
                <w:sz w:val="24"/>
                <w:szCs w:val="32"/>
              </w:rPr>
              <w:t>m</w:t>
            </w:r>
            <w:r>
              <w:rPr>
                <w:rFonts w:hint="default" w:ascii="Times New Roman" w:hAnsi="Times New Roman" w:cs="Times New Roman"/>
                <w:color w:val="auto"/>
                <w:sz w:val="24"/>
                <w:szCs w:val="32"/>
                <w:vertAlign w:val="superscript"/>
              </w:rPr>
              <w:t>3</w:t>
            </w:r>
            <w:r>
              <w:rPr>
                <w:rFonts w:hint="default" w:ascii="Times New Roman" w:hAnsi="Times New Roman" w:cs="Times New Roman"/>
                <w:color w:val="auto"/>
                <w:sz w:val="24"/>
                <w:szCs w:val="32"/>
              </w:rPr>
              <w:t>/a。主要污染因子为颗粒物、SO</w:t>
            </w:r>
            <w:r>
              <w:rPr>
                <w:rFonts w:hint="default" w:ascii="Times New Roman" w:hAnsi="Times New Roman" w:cs="Times New Roman"/>
                <w:color w:val="auto"/>
                <w:sz w:val="24"/>
                <w:szCs w:val="32"/>
                <w:vertAlign w:val="subscript"/>
              </w:rPr>
              <w:t>2</w:t>
            </w:r>
            <w:r>
              <w:rPr>
                <w:rFonts w:hint="default" w:ascii="Times New Roman" w:hAnsi="Times New Roman" w:cs="Times New Roman"/>
                <w:color w:val="auto"/>
                <w:sz w:val="24"/>
                <w:szCs w:val="32"/>
              </w:rPr>
              <w:t>和NOx。天然气为清洁能源，参照《全国污染源普查工业污染源产排污系数手册（2010年）》及《工业源产排污系数手册》（2010年）、《北京环境总体规划研究》中天然气锅炉的产污系数，产排污系数如下：</w:t>
            </w:r>
          </w:p>
          <w:p>
            <w:pPr>
              <w:pStyle w:val="24"/>
              <w:spacing w:line="240" w:lineRule="auto"/>
              <w:jc w:val="center"/>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kern w:val="2"/>
                <w:sz w:val="24"/>
                <w:szCs w:val="24"/>
                <w:lang w:val="en-US" w:eastAsia="zh-CN" w:bidi="ar-SA"/>
              </w:rPr>
              <w:t>表20   产排污系数情况表</w:t>
            </w:r>
          </w:p>
          <w:tbl>
            <w:tblPr>
              <w:tblStyle w:val="37"/>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4448"/>
              <w:gridCol w:w="24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65"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污染物指标</w:t>
                  </w:r>
                </w:p>
              </w:tc>
              <w:tc>
                <w:tcPr>
                  <w:tcW w:w="4448"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单位</w:t>
                  </w:r>
                </w:p>
              </w:tc>
              <w:tc>
                <w:tcPr>
                  <w:tcW w:w="2457"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产物系数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65"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烟气量</w:t>
                  </w:r>
                </w:p>
              </w:tc>
              <w:tc>
                <w:tcPr>
                  <w:tcW w:w="4448"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标立方米/万立方米-原料</w:t>
                  </w:r>
                </w:p>
              </w:tc>
              <w:tc>
                <w:tcPr>
                  <w:tcW w:w="2457" w:type="dxa"/>
                  <w:tcBorders>
                    <w:tl2br w:val="nil"/>
                    <w:tr2bl w:val="nil"/>
                  </w:tcBorders>
                  <w:noWrap w:val="0"/>
                  <w:vAlign w:val="bottom"/>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xml:space="preserve">136259.17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65"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二氧化硫</w:t>
                  </w:r>
                </w:p>
              </w:tc>
              <w:tc>
                <w:tcPr>
                  <w:tcW w:w="4448"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千克/万立方米-原料</w:t>
                  </w:r>
                </w:p>
              </w:tc>
              <w:tc>
                <w:tcPr>
                  <w:tcW w:w="2457"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0.02S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65"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氮氧化物</w:t>
                  </w:r>
                </w:p>
              </w:tc>
              <w:tc>
                <w:tcPr>
                  <w:tcW w:w="4448"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千克/万立方米-原料（低氮燃烧）</w:t>
                  </w:r>
                </w:p>
              </w:tc>
              <w:tc>
                <w:tcPr>
                  <w:tcW w:w="2457"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4.08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65"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颗粒物</w:t>
                  </w:r>
                </w:p>
              </w:tc>
              <w:tc>
                <w:tcPr>
                  <w:tcW w:w="4448"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千克/万立方米-原料</w:t>
                  </w:r>
                </w:p>
              </w:tc>
              <w:tc>
                <w:tcPr>
                  <w:tcW w:w="2457" w:type="dxa"/>
                  <w:tcBorders>
                    <w:tl2br w:val="nil"/>
                    <w:tr2bl w:val="nil"/>
                  </w:tcBorders>
                  <w:noWrap w:val="0"/>
                  <w:vAlign w:val="bottom"/>
                </w:tcPr>
                <w:p>
                  <w:pPr>
                    <w:widowControl/>
                    <w:adjustRightInd w:val="0"/>
                    <w:snapToGrid w:val="0"/>
                    <w:spacing w:line="360" w:lineRule="atLeast"/>
                    <w:jc w:val="center"/>
                    <w:rPr>
                      <w:rFonts w:hint="default" w:ascii="Times New Roman" w:hAnsi="Times New Roman" w:cs="Times New Roman"/>
                      <w:color w:val="auto"/>
                      <w:kern w:val="0"/>
                    </w:rPr>
                  </w:pPr>
                  <w:r>
                    <w:rPr>
                      <w:rFonts w:hint="default" w:ascii="Times New Roman" w:hAnsi="Times New Roman" w:cs="Times New Roman"/>
                      <w:color w:val="auto"/>
                      <w:kern w:val="0"/>
                    </w:rPr>
                    <w:t>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92" w:hRule="exact"/>
                <w:jc w:val="center"/>
              </w:trPr>
              <w:tc>
                <w:tcPr>
                  <w:tcW w:w="9070" w:type="dxa"/>
                  <w:gridSpan w:val="3"/>
                  <w:tcBorders>
                    <w:tl2br w:val="nil"/>
                    <w:tr2bl w:val="nil"/>
                  </w:tcBorders>
                  <w:noWrap w:val="0"/>
                  <w:vAlign w:val="bottom"/>
                </w:tcPr>
                <w:p>
                  <w:pPr>
                    <w:widowControl/>
                    <w:adjustRightInd w:val="0"/>
                    <w:snapToGrid w:val="0"/>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注：S硫含量60毫克/立方米，即S=60</w:t>
                  </w:r>
                </w:p>
                <w:p>
                  <w:pPr>
                    <w:widowControl/>
                    <w:adjustRightInd w:val="0"/>
                    <w:snapToGrid w:val="0"/>
                    <w:spacing w:line="360" w:lineRule="atLeast"/>
                    <w:jc w:val="left"/>
                    <w:rPr>
                      <w:rFonts w:hint="default" w:ascii="Times New Roman" w:hAnsi="Times New Roman" w:cs="Times New Roman"/>
                      <w:color w:val="auto"/>
                      <w:kern w:val="0"/>
                    </w:rPr>
                  </w:pPr>
                  <w:r>
                    <w:rPr>
                      <w:rFonts w:hint="default" w:ascii="Times New Roman" w:hAnsi="Times New Roman" w:cs="Times New Roman"/>
                      <w:color w:val="auto"/>
                      <w:szCs w:val="21"/>
                    </w:rPr>
                    <w:t>氮氧化物系数：燃气锅炉采用《排污许可证申请与核发技术规范 锅炉(HJ953-2018)》编制说明中符合我国实际的燃气锅炉氮氧化物治理可行的治理技术-低氮燃烧技术，该技术能够实现30mg/m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的排放水平。反推得到氮氧化物排污系数。</w:t>
                  </w:r>
                </w:p>
              </w:tc>
            </w:tr>
          </w:tbl>
          <w:p>
            <w:pPr>
              <w:spacing w:line="360" w:lineRule="auto"/>
              <w:ind w:firstLine="482"/>
              <w:rPr>
                <w:rFonts w:hint="default" w:ascii="Times New Roman" w:hAnsi="Times New Roman" w:cs="Times New Roman"/>
                <w:color w:val="auto"/>
                <w:sz w:val="24"/>
                <w:szCs w:val="32"/>
              </w:rPr>
            </w:pPr>
            <w:r>
              <w:rPr>
                <w:rFonts w:hint="default" w:ascii="Times New Roman" w:hAnsi="Times New Roman" w:cs="Times New Roman"/>
                <w:bCs/>
                <w:color w:val="auto"/>
                <w:sz w:val="24"/>
              </w:rPr>
              <w:t>经计算，烟气量为6</w:t>
            </w:r>
            <w:r>
              <w:rPr>
                <w:rFonts w:hint="default" w:ascii="Times New Roman" w:hAnsi="Times New Roman" w:cs="Times New Roman"/>
                <w:bCs/>
                <w:color w:val="auto"/>
                <w:sz w:val="24"/>
                <w:lang w:val="en-US" w:eastAsia="zh-CN"/>
              </w:rPr>
              <w:t>13166</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/a，</w:t>
            </w:r>
            <w:r>
              <w:rPr>
                <w:rFonts w:hint="default" w:ascii="Times New Roman" w:hAnsi="Times New Roman" w:cs="Times New Roman"/>
                <w:color w:val="auto"/>
                <w:sz w:val="24"/>
              </w:rPr>
              <w:t>采用低氮燃烧技术后</w:t>
            </w:r>
            <w:r>
              <w:rPr>
                <w:rFonts w:hint="default" w:ascii="Times New Roman" w:hAnsi="Times New Roman" w:cs="Times New Roman"/>
                <w:color w:val="auto"/>
                <w:sz w:val="24"/>
                <w:lang w:eastAsia="zh-CN"/>
              </w:rPr>
              <w:t>经</w:t>
            </w:r>
            <w:r>
              <w:rPr>
                <w:rFonts w:hint="default" w:ascii="Times New Roman" w:hAnsi="Times New Roman" w:cs="Times New Roman"/>
                <w:color w:val="auto"/>
                <w:sz w:val="24"/>
                <w:lang w:val="en-US" w:eastAsia="zh-CN"/>
              </w:rPr>
              <w:t>15m高排气筒排放（注：周边最高建筑物高12m）</w:t>
            </w:r>
            <w:r>
              <w:rPr>
                <w:rFonts w:hint="default" w:ascii="Times New Roman" w:hAnsi="Times New Roman" w:cs="Times New Roman"/>
                <w:color w:val="auto"/>
                <w:sz w:val="24"/>
              </w:rPr>
              <w:t>，污染物排放浓度为颗粒物3.3mg/m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，SO</w:t>
            </w:r>
            <w:r>
              <w:rPr>
                <w:rFonts w:hint="default" w:ascii="Times New Roman" w:hAnsi="Times New Roman" w:cs="Times New Roman"/>
                <w:color w:val="auto"/>
                <w:sz w:val="24"/>
                <w:vertAlign w:val="subscript"/>
              </w:rPr>
              <w:t>2</w:t>
            </w:r>
            <w:r>
              <w:rPr>
                <w:rFonts w:hint="default" w:ascii="Times New Roman" w:hAnsi="Times New Roman" w:cs="Times New Roman"/>
                <w:color w:val="auto"/>
                <w:sz w:val="24"/>
              </w:rPr>
              <w:t>8.8mg/m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和NO</w:t>
            </w:r>
            <w:r>
              <w:rPr>
                <w:rFonts w:hint="default" w:ascii="Times New Roman" w:hAnsi="Times New Roman" w:cs="Times New Roman"/>
                <w:color w:val="auto"/>
                <w:sz w:val="24"/>
                <w:vertAlign w:val="subscript"/>
              </w:rPr>
              <w:t>X</w:t>
            </w:r>
            <w:r>
              <w:rPr>
                <w:rFonts w:hint="default" w:ascii="Times New Roman" w:hAnsi="Times New Roman" w:cs="Times New Roman"/>
                <w:color w:val="auto"/>
                <w:sz w:val="24"/>
              </w:rPr>
              <w:t>29.35mg/m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，污染物排放量为SO</w:t>
            </w:r>
            <w:r>
              <w:rPr>
                <w:rFonts w:hint="default" w:ascii="Times New Roman" w:hAnsi="Times New Roman" w:cs="Times New Roman"/>
                <w:color w:val="auto"/>
                <w:sz w:val="24"/>
                <w:vertAlign w:val="subscript"/>
              </w:rPr>
              <w:t>2</w:t>
            </w:r>
            <w:r>
              <w:rPr>
                <w:rFonts w:hint="default" w:ascii="Times New Roman" w:hAnsi="Times New Roman" w:cs="Times New Roman"/>
                <w:color w:val="auto"/>
                <w:sz w:val="24"/>
              </w:rPr>
              <w:t>：0.005</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rPr>
              <w:t>t/a，颗粒物：0.002</w:t>
            </w:r>
            <w:r>
              <w:rPr>
                <w:rFonts w:hint="default" w:ascii="Times New Roman" w:hAnsi="Times New Roman" w:cs="Times New Roman"/>
                <w:color w:val="auto"/>
                <w:sz w:val="24"/>
                <w:lang w:val="en-US" w:eastAsia="zh-CN"/>
              </w:rPr>
              <w:t>025</w:t>
            </w:r>
            <w:r>
              <w:rPr>
                <w:rFonts w:hint="default" w:ascii="Times New Roman" w:hAnsi="Times New Roman" w:cs="Times New Roman"/>
                <w:color w:val="auto"/>
                <w:sz w:val="24"/>
              </w:rPr>
              <w:t>t/a，NO</w:t>
            </w:r>
            <w:r>
              <w:rPr>
                <w:rFonts w:hint="default" w:ascii="Times New Roman" w:hAnsi="Times New Roman" w:cs="Times New Roman"/>
                <w:color w:val="auto"/>
                <w:sz w:val="24"/>
                <w:vertAlign w:val="subscript"/>
              </w:rPr>
              <w:t>X</w:t>
            </w:r>
            <w:r>
              <w:rPr>
                <w:rFonts w:hint="default" w:ascii="Times New Roman" w:hAnsi="Times New Roman" w:cs="Times New Roman"/>
                <w:color w:val="auto"/>
                <w:sz w:val="24"/>
              </w:rPr>
              <w:t>：0.01</w:t>
            </w:r>
            <w:r>
              <w:rPr>
                <w:rFonts w:hint="default" w:ascii="Times New Roman" w:hAnsi="Times New Roman" w:cs="Times New Roman"/>
                <w:color w:val="auto"/>
                <w:sz w:val="24"/>
                <w:lang w:val="en-US" w:eastAsia="zh-CN"/>
              </w:rPr>
              <w:t>836</w:t>
            </w:r>
            <w:r>
              <w:rPr>
                <w:rFonts w:hint="default" w:ascii="Times New Roman" w:hAnsi="Times New Roman" w:cs="Times New Roman"/>
                <w:color w:val="auto"/>
                <w:sz w:val="24"/>
              </w:rPr>
              <w:t>t/a。排放浓度满足</w:t>
            </w:r>
            <w:r>
              <w:rPr>
                <w:rFonts w:hint="default" w:ascii="Times New Roman" w:hAnsi="Times New Roman" w:cs="Times New Roman"/>
                <w:bCs/>
                <w:color w:val="auto"/>
                <w:sz w:val="24"/>
              </w:rPr>
              <w:t>《锅炉大气污染物排放标准》（GB13271-2014）表3中燃气锅炉大气污染物特别排放限值要求</w:t>
            </w:r>
            <w:r>
              <w:rPr>
                <w:rFonts w:hint="default" w:ascii="Times New Roman" w:hAnsi="Times New Roman" w:cs="Times New Roman"/>
                <w:sz w:val="24"/>
                <w:szCs w:val="24"/>
              </w:rPr>
              <w:t>（颗粒物浓度≤20mg/m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浓度≤50mg/m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，NOx浓度≤150mg/m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）限值要求</w:t>
            </w:r>
            <w:r>
              <w:rPr>
                <w:rFonts w:hint="default" w:ascii="Times New Roman" w:hAnsi="Times New Roman" w:cs="Times New Roman"/>
                <w:color w:val="auto"/>
                <w:sz w:val="24"/>
              </w:rPr>
              <w:t>。</w:t>
            </w:r>
          </w:p>
          <w:p>
            <w:pPr>
              <w:spacing w:line="360" w:lineRule="auto"/>
              <w:ind w:firstLine="482"/>
              <w:jc w:val="center"/>
              <w:rPr>
                <w:rFonts w:hint="default" w:ascii="Times New Roman" w:hAnsi="Times New Roman" w:cs="Times New Roman"/>
                <w:b/>
                <w:bCs/>
                <w:color w:val="auto"/>
                <w:sz w:val="24"/>
                <w:szCs w:val="32"/>
                <w:lang w:val="en-US" w:eastAsia="zh-CN"/>
              </w:rPr>
            </w:pPr>
            <w:r>
              <w:rPr>
                <w:rFonts w:hint="default" w:ascii="Times New Roman" w:hAnsi="Times New Roman" w:cs="Times New Roman"/>
                <w:b/>
                <w:bCs/>
                <w:color w:val="auto"/>
                <w:sz w:val="24"/>
                <w:szCs w:val="32"/>
                <w:lang w:val="en-US" w:eastAsia="zh-CN"/>
              </w:rPr>
              <w:t>表21   污染物产生及排放情况表</w:t>
            </w:r>
          </w:p>
          <w:tbl>
            <w:tblPr>
              <w:tblStyle w:val="37"/>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071"/>
              <w:gridCol w:w="972"/>
              <w:gridCol w:w="886"/>
              <w:gridCol w:w="1040"/>
              <w:gridCol w:w="794"/>
              <w:gridCol w:w="1064"/>
              <w:gridCol w:w="8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34"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项目</w:t>
                  </w:r>
                </w:p>
              </w:tc>
              <w:tc>
                <w:tcPr>
                  <w:tcW w:w="1276"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运行时间（h/a）</w:t>
                  </w:r>
                </w:p>
              </w:tc>
              <w:tc>
                <w:tcPr>
                  <w:tcW w:w="1071"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烟气量</w:t>
                  </w:r>
                </w:p>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（m</w:t>
                  </w:r>
                  <w:r>
                    <w:rPr>
                      <w:rFonts w:hint="default" w:ascii="Times New Roman" w:hAnsi="Times New Roman" w:cs="Times New Roman"/>
                      <w:color w:val="auto"/>
                      <w:kern w:val="0"/>
                      <w:szCs w:val="21"/>
                      <w:vertAlign w:val="superscript"/>
                    </w:rPr>
                    <w:t>3</w:t>
                  </w:r>
                  <w:r>
                    <w:rPr>
                      <w:rFonts w:hint="default" w:ascii="Times New Roman" w:hAnsi="Times New Roman" w:cs="Times New Roman"/>
                      <w:color w:val="auto"/>
                      <w:kern w:val="0"/>
                      <w:szCs w:val="21"/>
                    </w:rPr>
                    <w:t>/a）</w:t>
                  </w:r>
                </w:p>
              </w:tc>
              <w:tc>
                <w:tcPr>
                  <w:tcW w:w="972"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污染物</w:t>
                  </w:r>
                </w:p>
              </w:tc>
              <w:tc>
                <w:tcPr>
                  <w:tcW w:w="1926" w:type="dxa"/>
                  <w:gridSpan w:val="2"/>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产生情况</w:t>
                  </w:r>
                </w:p>
              </w:tc>
              <w:tc>
                <w:tcPr>
                  <w:tcW w:w="1858" w:type="dxa"/>
                  <w:gridSpan w:val="2"/>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排放情况</w:t>
                  </w:r>
                </w:p>
              </w:tc>
              <w:tc>
                <w:tcPr>
                  <w:tcW w:w="833"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134"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276"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071"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972"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886" w:type="dxa"/>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mg/m</w:t>
                  </w:r>
                  <w:r>
                    <w:rPr>
                      <w:rFonts w:hint="default" w:ascii="Times New Roman" w:hAnsi="Times New Roman" w:cs="Times New Roman"/>
                      <w:color w:val="auto"/>
                      <w:kern w:val="0"/>
                      <w:szCs w:val="21"/>
                      <w:vertAlign w:val="superscript"/>
                    </w:rPr>
                    <w:t>3</w:t>
                  </w:r>
                </w:p>
              </w:tc>
              <w:tc>
                <w:tcPr>
                  <w:tcW w:w="1040" w:type="dxa"/>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t/a</w:t>
                  </w:r>
                </w:p>
              </w:tc>
              <w:tc>
                <w:tcPr>
                  <w:tcW w:w="794" w:type="dxa"/>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mg/m</w:t>
                  </w:r>
                  <w:r>
                    <w:rPr>
                      <w:rFonts w:hint="default" w:ascii="Times New Roman" w:hAnsi="Times New Roman" w:cs="Times New Roman"/>
                      <w:color w:val="auto"/>
                      <w:kern w:val="0"/>
                      <w:szCs w:val="21"/>
                      <w:vertAlign w:val="superscript"/>
                    </w:rPr>
                    <w:t>3</w:t>
                  </w:r>
                </w:p>
              </w:tc>
              <w:tc>
                <w:tcPr>
                  <w:tcW w:w="1064" w:type="dxa"/>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t/a</w:t>
                  </w:r>
                </w:p>
              </w:tc>
              <w:tc>
                <w:tcPr>
                  <w:tcW w:w="833" w:type="dxa"/>
                  <w:vMerge w:val="continue"/>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1134"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燃气锅炉</w:t>
                  </w:r>
                </w:p>
              </w:tc>
              <w:tc>
                <w:tcPr>
                  <w:tcW w:w="1276"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24</w:t>
                  </w:r>
                  <w:r>
                    <w:rPr>
                      <w:rFonts w:hint="default" w:ascii="Times New Roman" w:hAnsi="Times New Roman" w:cs="Times New Roman"/>
                      <w:color w:val="auto"/>
                      <w:kern w:val="0"/>
                      <w:szCs w:val="21"/>
                    </w:rPr>
                    <w:t>00</w:t>
                  </w:r>
                </w:p>
              </w:tc>
              <w:tc>
                <w:tcPr>
                  <w:tcW w:w="1071"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613166</w:t>
                  </w:r>
                </w:p>
              </w:tc>
              <w:tc>
                <w:tcPr>
                  <w:tcW w:w="972"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颗粒物</w:t>
                  </w:r>
                </w:p>
              </w:tc>
              <w:tc>
                <w:tcPr>
                  <w:tcW w:w="886"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3.3</w:t>
                  </w:r>
                </w:p>
              </w:tc>
              <w:tc>
                <w:tcPr>
                  <w:tcW w:w="1040"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0.002025</w:t>
                  </w:r>
                </w:p>
              </w:tc>
              <w:tc>
                <w:tcPr>
                  <w:tcW w:w="794"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3.3</w:t>
                  </w:r>
                </w:p>
              </w:tc>
              <w:tc>
                <w:tcPr>
                  <w:tcW w:w="1064"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0.002025</w:t>
                  </w:r>
                </w:p>
              </w:tc>
              <w:tc>
                <w:tcPr>
                  <w:tcW w:w="833" w:type="dxa"/>
                  <w:vMerge w:val="restart"/>
                  <w:tcBorders>
                    <w:tl2br w:val="nil"/>
                    <w:tr2bl w:val="nil"/>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1根</w:t>
                  </w:r>
                  <w:r>
                    <w:rPr>
                      <w:rFonts w:hint="default" w:ascii="Times New Roman" w:hAnsi="Times New Roman" w:cs="Times New Roman"/>
                      <w:color w:val="auto"/>
                      <w:kern w:val="0"/>
                      <w:szCs w:val="21"/>
                      <w:lang w:val="en-US" w:eastAsia="zh-CN"/>
                    </w:rPr>
                    <w:t>15</w:t>
                  </w:r>
                  <w:r>
                    <w:rPr>
                      <w:rFonts w:hint="default" w:ascii="Times New Roman" w:hAnsi="Times New Roman" w:cs="Times New Roman"/>
                      <w:color w:val="auto"/>
                      <w:kern w:val="0"/>
                      <w:szCs w:val="21"/>
                    </w:rPr>
                    <w:t>m烟囱</w:t>
                  </w:r>
                </w:p>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达标</w:t>
                  </w:r>
                </w:p>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jc w:val="center"/>
              </w:trPr>
              <w:tc>
                <w:tcPr>
                  <w:tcW w:w="1134"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276"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071"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972"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SO</w:t>
                  </w:r>
                  <w:r>
                    <w:rPr>
                      <w:rFonts w:hint="default" w:ascii="Times New Roman" w:hAnsi="Times New Roman" w:cs="Times New Roman"/>
                      <w:color w:val="auto"/>
                      <w:kern w:val="0"/>
                      <w:szCs w:val="21"/>
                      <w:vertAlign w:val="subscript"/>
                    </w:rPr>
                    <w:t>2</w:t>
                  </w:r>
                </w:p>
              </w:tc>
              <w:tc>
                <w:tcPr>
                  <w:tcW w:w="886"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8.8</w:t>
                  </w:r>
                </w:p>
              </w:tc>
              <w:tc>
                <w:tcPr>
                  <w:tcW w:w="1040" w:type="dxa"/>
                  <w:tcBorders>
                    <w:tl2br w:val="nil"/>
                    <w:tr2bl w:val="nil"/>
                  </w:tcBorders>
                  <w:noWrap w:val="0"/>
                  <w:vAlign w:val="center"/>
                </w:tcPr>
                <w:p>
                  <w:pPr>
                    <w:widowControl/>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0.005</w:t>
                  </w:r>
                  <w:r>
                    <w:rPr>
                      <w:rFonts w:hint="default" w:ascii="Times New Roman" w:hAnsi="Times New Roman" w:cs="Times New Roman"/>
                      <w:color w:val="auto"/>
                      <w:kern w:val="0"/>
                      <w:szCs w:val="21"/>
                      <w:lang w:val="en-US" w:eastAsia="zh-CN"/>
                    </w:rPr>
                    <w:t>4</w:t>
                  </w:r>
                </w:p>
              </w:tc>
              <w:tc>
                <w:tcPr>
                  <w:tcW w:w="794"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8.8</w:t>
                  </w:r>
                </w:p>
              </w:tc>
              <w:tc>
                <w:tcPr>
                  <w:tcW w:w="1064"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0.00576</w:t>
                  </w:r>
                </w:p>
              </w:tc>
              <w:tc>
                <w:tcPr>
                  <w:tcW w:w="833"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1134"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276"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1071"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c>
                <w:tcPr>
                  <w:tcW w:w="972"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NOx</w:t>
                  </w:r>
                </w:p>
              </w:tc>
              <w:tc>
                <w:tcPr>
                  <w:tcW w:w="886"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29.35</w:t>
                  </w:r>
                </w:p>
              </w:tc>
              <w:tc>
                <w:tcPr>
                  <w:tcW w:w="1040" w:type="dxa"/>
                  <w:tcBorders>
                    <w:tl2br w:val="nil"/>
                    <w:tr2bl w:val="nil"/>
                  </w:tcBorders>
                  <w:noWrap w:val="0"/>
                  <w:vAlign w:val="center"/>
                </w:tcPr>
                <w:p>
                  <w:pPr>
                    <w:widowControl/>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rPr>
                    <w:t>0.01</w:t>
                  </w:r>
                  <w:r>
                    <w:rPr>
                      <w:rFonts w:hint="default" w:ascii="Times New Roman" w:hAnsi="Times New Roman" w:cs="Times New Roman"/>
                      <w:color w:val="auto"/>
                      <w:kern w:val="0"/>
                      <w:szCs w:val="21"/>
                      <w:lang w:val="en-US" w:eastAsia="zh-CN"/>
                    </w:rPr>
                    <w:t>836</w:t>
                  </w:r>
                </w:p>
              </w:tc>
              <w:tc>
                <w:tcPr>
                  <w:tcW w:w="794" w:type="dxa"/>
                  <w:tcBorders>
                    <w:tl2br w:val="nil"/>
                    <w:tr2bl w:val="nil"/>
                  </w:tcBorders>
                  <w:noWrap w:val="0"/>
                  <w:vAlign w:val="center"/>
                </w:tcPr>
                <w:p>
                  <w:pPr>
                    <w:widowControl/>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29.35</w:t>
                  </w:r>
                </w:p>
              </w:tc>
              <w:tc>
                <w:tcPr>
                  <w:tcW w:w="1064" w:type="dxa"/>
                  <w:tcBorders>
                    <w:tl2br w:val="nil"/>
                    <w:tr2bl w:val="nil"/>
                  </w:tcBorders>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0.0196</w:t>
                  </w:r>
                </w:p>
              </w:tc>
              <w:tc>
                <w:tcPr>
                  <w:tcW w:w="833" w:type="dxa"/>
                  <w:vMerge w:val="continue"/>
                  <w:tcBorders>
                    <w:tl2br w:val="nil"/>
                    <w:tr2bl w:val="nil"/>
                  </w:tcBorders>
                  <w:noWrap w:val="0"/>
                  <w:vAlign w:val="center"/>
                </w:tcPr>
                <w:p>
                  <w:pPr>
                    <w:widowControl/>
                    <w:spacing w:line="360" w:lineRule="atLeast"/>
                    <w:jc w:val="left"/>
                    <w:rPr>
                      <w:rFonts w:hint="default" w:ascii="Times New Roman" w:hAnsi="Times New Roman" w:cs="Times New Roman"/>
                      <w:color w:val="auto"/>
                      <w:kern w:val="0"/>
                      <w:szCs w:val="21"/>
                    </w:rPr>
                  </w:pP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w:t>
            </w:r>
            <w:r>
              <w:rPr>
                <w:rFonts w:hint="default" w:ascii="Times New Roman" w:hAnsi="Times New Roman" w:eastAsia="宋体" w:cs="Times New Roman"/>
                <w:sz w:val="24"/>
                <w:szCs w:val="20"/>
                <w:lang w:eastAsia="zh-CN"/>
              </w:rPr>
              <w:t>发泡、打板、切割</w:t>
            </w:r>
            <w:r>
              <w:rPr>
                <w:rFonts w:hint="default" w:ascii="Times New Roman" w:hAnsi="Times New Roman" w:cs="Times New Roman"/>
                <w:sz w:val="24"/>
                <w:szCs w:val="24"/>
              </w:rPr>
              <w:t>产生的非甲烷总烃</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类比同类企业，项目在</w:t>
            </w:r>
            <w:r>
              <w:rPr>
                <w:rFonts w:hint="default" w:ascii="Times New Roman" w:hAnsi="Times New Roman" w:eastAsia="宋体" w:cs="Times New Roman"/>
                <w:sz w:val="24"/>
                <w:szCs w:val="20"/>
                <w:lang w:eastAsia="zh-CN"/>
              </w:rPr>
              <w:t>发泡、打板、切割</w:t>
            </w:r>
            <w:r>
              <w:rPr>
                <w:rFonts w:hint="default" w:ascii="Times New Roman" w:hAnsi="Times New Roman" w:cs="Times New Roman"/>
                <w:sz w:val="24"/>
                <w:szCs w:val="24"/>
                <w:lang w:val="en-GB"/>
              </w:rPr>
              <w:t>产成的烃类气体产生量是原料的0.0</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val="en-GB"/>
              </w:rPr>
              <w:t>%。</w:t>
            </w:r>
            <w:r>
              <w:rPr>
                <w:rFonts w:hint="default" w:ascii="Times New Roman" w:hAnsi="Times New Roman" w:cs="Times New Roman"/>
                <w:sz w:val="24"/>
                <w:szCs w:val="24"/>
              </w:rPr>
              <w:t>原料用量为</w:t>
            </w:r>
            <w:r>
              <w:rPr>
                <w:rFonts w:hint="default" w:ascii="Times New Roman" w:hAnsi="Times New Roman" w:cs="Times New Roman"/>
                <w:sz w:val="24"/>
                <w:szCs w:val="24"/>
                <w:lang w:val="en-US" w:eastAsia="zh-CN"/>
              </w:rPr>
              <w:t>2500</w:t>
            </w:r>
            <w:r>
              <w:rPr>
                <w:rFonts w:hint="default" w:ascii="Times New Roman" w:hAnsi="Times New Roman" w:cs="Times New Roman"/>
                <w:sz w:val="24"/>
                <w:szCs w:val="24"/>
              </w:rPr>
              <w:t>t/a，经计算非甲烷总烃产生量为</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5t/a。</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设备</w:t>
            </w:r>
            <w:r>
              <w:rPr>
                <w:rFonts w:hint="default" w:ascii="Times New Roman" w:hAnsi="Times New Roman" w:cs="Times New Roman"/>
                <w:sz w:val="24"/>
                <w:szCs w:val="24"/>
              </w:rPr>
              <w:t>上方设集气罩，经集气罩+活性炭吸附+光氧催化设备处理后经15m高排气筒（P</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）排放，集气罩收集效率为90%，集气罩收集的非甲烷总烃的产生量为</w:t>
            </w:r>
            <w:r>
              <w:rPr>
                <w:rFonts w:hint="default" w:ascii="Times New Roman" w:hAnsi="Times New Roman" w:cs="Times New Roman"/>
                <w:sz w:val="24"/>
                <w:szCs w:val="24"/>
                <w:lang w:val="en-US" w:eastAsia="zh-CN"/>
              </w:rPr>
              <w:t>0.4</w:t>
            </w:r>
            <w:r>
              <w:rPr>
                <w:rFonts w:hint="default" w:ascii="Times New Roman" w:hAnsi="Times New Roman" w:cs="Times New Roman"/>
                <w:sz w:val="24"/>
                <w:szCs w:val="24"/>
              </w:rPr>
              <w:t>5t/a，产生浓度为93</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75mg/m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highlight w:val="none"/>
              </w:rPr>
              <w:t>，产生速率为</w:t>
            </w:r>
            <w:r>
              <w:rPr>
                <w:rFonts w:hint="default" w:ascii="Times New Roman" w:hAnsi="Times New Roman" w:cs="Times New Roman"/>
                <w:sz w:val="24"/>
                <w:szCs w:val="24"/>
                <w:highlight w:val="none"/>
                <w:lang w:val="en-US" w:eastAsia="zh-CN"/>
              </w:rPr>
              <w:t>0.1</w:t>
            </w:r>
            <w:r>
              <w:rPr>
                <w:rFonts w:hint="default" w:ascii="Times New Roman" w:hAnsi="Times New Roman" w:cs="Times New Roman"/>
                <w:sz w:val="24"/>
                <w:szCs w:val="24"/>
                <w:highlight w:val="none"/>
              </w:rPr>
              <w:t>9kg/h。</w:t>
            </w:r>
            <w:r>
              <w:rPr>
                <w:rFonts w:hint="default" w:ascii="Times New Roman" w:hAnsi="Times New Roman" w:cs="Times New Roman"/>
                <w:sz w:val="24"/>
                <w:szCs w:val="24"/>
                <w:highlight w:val="none"/>
                <w:lang w:eastAsia="zh-CN"/>
              </w:rPr>
              <w:t>活性炭吸附装置处理效率为</w:t>
            </w:r>
            <w:r>
              <w:rPr>
                <w:rFonts w:hint="default" w:ascii="Times New Roman" w:hAnsi="Times New Roman" w:cs="Times New Roman"/>
                <w:sz w:val="24"/>
                <w:szCs w:val="24"/>
                <w:highlight w:val="none"/>
                <w:lang w:val="en-US" w:eastAsia="zh-CN"/>
              </w:rPr>
              <w:t>90%，</w:t>
            </w:r>
            <w:r>
              <w:rPr>
                <w:rFonts w:hint="default" w:ascii="Times New Roman" w:hAnsi="Times New Roman" w:cs="Times New Roman"/>
                <w:sz w:val="24"/>
                <w:szCs w:val="24"/>
                <w:highlight w:val="none"/>
              </w:rPr>
              <w:t>光氧催化设备处理效率为90</w:t>
            </w:r>
            <w:r>
              <w:rPr>
                <w:rFonts w:hint="default" w:ascii="Times New Roman" w:hAnsi="Times New Roman" w:cs="Times New Roman"/>
                <w:sz w:val="24"/>
                <w:szCs w:val="24"/>
              </w:rPr>
              <w:t>%，风机风量为2000m³/h，工作时间为2400h，经计算非甲烷总烃排放量为</w:t>
            </w:r>
            <w:r>
              <w:rPr>
                <w:rFonts w:hint="default" w:ascii="Times New Roman" w:hAnsi="Times New Roman" w:cs="Times New Roman"/>
                <w:sz w:val="24"/>
                <w:szCs w:val="24"/>
                <w:lang w:val="en-US" w:eastAsia="zh-CN"/>
              </w:rPr>
              <w:t>0.00</w:t>
            </w:r>
            <w:r>
              <w:rPr>
                <w:rFonts w:hint="default" w:ascii="Times New Roman" w:hAnsi="Times New Roman" w:cs="Times New Roman"/>
                <w:sz w:val="24"/>
                <w:szCs w:val="24"/>
              </w:rPr>
              <w:t>45t/a，排放浓度为</w:t>
            </w:r>
            <w:r>
              <w:rPr>
                <w:rFonts w:hint="default" w:ascii="Times New Roman" w:hAnsi="Times New Roman" w:cs="Times New Roman"/>
                <w:sz w:val="24"/>
                <w:szCs w:val="24"/>
                <w:lang w:val="en-US" w:eastAsia="zh-CN"/>
              </w:rPr>
              <w:t>0.9</w:t>
            </w:r>
            <w:r>
              <w:rPr>
                <w:rFonts w:hint="default" w:ascii="Times New Roman" w:hAnsi="Times New Roman" w:cs="Times New Roman"/>
                <w:sz w:val="24"/>
                <w:szCs w:val="24"/>
              </w:rPr>
              <w:t>38mg/m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，排放速率为0</w:t>
            </w:r>
            <w:r>
              <w:rPr>
                <w:rFonts w:hint="default" w:ascii="Times New Roman" w:hAnsi="Times New Roman" w:cs="Times New Roman"/>
                <w:sz w:val="24"/>
                <w:szCs w:val="24"/>
                <w:lang w:val="en-US" w:eastAsia="zh-CN"/>
              </w:rPr>
              <w:t>.00</w:t>
            </w:r>
            <w:r>
              <w:rPr>
                <w:rFonts w:hint="default" w:ascii="Times New Roman" w:hAnsi="Times New Roman" w:cs="Times New Roman"/>
                <w:sz w:val="24"/>
                <w:szCs w:val="24"/>
              </w:rPr>
              <w:t>2kg/h。满足《工业企业挥发性有机物排放控制标准》（DB13/2322-2016）表1</w:t>
            </w:r>
            <w:r>
              <w:rPr>
                <w:rFonts w:hint="default" w:ascii="Times New Roman" w:hAnsi="Times New Roman" w:cs="Times New Roman"/>
                <w:sz w:val="24"/>
                <w:szCs w:val="24"/>
                <w:lang w:eastAsia="zh-CN"/>
              </w:rPr>
              <w:t>有机化工业</w:t>
            </w:r>
            <w:r>
              <w:rPr>
                <w:rFonts w:hint="default" w:ascii="Times New Roman" w:hAnsi="Times New Roman" w:cs="Times New Roman"/>
                <w:sz w:val="24"/>
                <w:szCs w:val="24"/>
              </w:rPr>
              <w:t>大气污染物排放限值</w:t>
            </w:r>
            <w:r>
              <w:rPr>
                <w:rFonts w:hint="default" w:ascii="Times New Roman" w:hAnsi="Times New Roman" w:cs="Times New Roman"/>
                <w:sz w:val="24"/>
                <w:szCs w:val="24"/>
                <w:lang w:eastAsia="zh-CN"/>
              </w:rPr>
              <w:t>，非甲烷总烃排放限值80mg/m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，最低去除效率90%。</w:t>
            </w:r>
          </w:p>
          <w:p>
            <w:pPr>
              <w:spacing w:line="480" w:lineRule="exact"/>
              <w:ind w:firstLine="480" w:firstLineChars="200"/>
              <w:rPr>
                <w:rFonts w:hint="default" w:ascii="Times New Roman" w:hAnsi="Times New Roman" w:cs="Times New Roman"/>
                <w:sz w:val="24"/>
                <w:szCs w:val="24"/>
                <w:lang w:eastAsia="zh-CN"/>
              </w:rPr>
            </w:pPr>
            <w:r>
              <w:rPr>
                <w:rFonts w:hint="eastAsia"/>
                <w:color w:val="000000"/>
                <w:sz w:val="24"/>
                <w:szCs w:val="22"/>
                <w:highlight w:val="none"/>
              </w:rPr>
              <w:t>集气罩未收集的</w:t>
            </w:r>
            <w:r>
              <w:rPr>
                <w:rFonts w:hint="eastAsia"/>
                <w:color w:val="000000"/>
                <w:sz w:val="24"/>
                <w:szCs w:val="22"/>
                <w:highlight w:val="none"/>
                <w:lang w:eastAsia="zh-CN"/>
              </w:rPr>
              <w:t>非甲烷总烃</w:t>
            </w:r>
            <w:r>
              <w:rPr>
                <w:rFonts w:hint="eastAsia"/>
                <w:color w:val="000000"/>
                <w:sz w:val="24"/>
                <w:szCs w:val="22"/>
                <w:highlight w:val="none"/>
              </w:rPr>
              <w:t>无组织排放量大约为</w:t>
            </w:r>
            <w:r>
              <w:rPr>
                <w:rFonts w:hint="eastAsia"/>
                <w:sz w:val="24"/>
                <w:highlight w:val="none"/>
                <w:shd w:val="clear" w:color="auto" w:fill="FFFFFF"/>
              </w:rPr>
              <w:t>0.</w:t>
            </w:r>
            <w:r>
              <w:rPr>
                <w:rFonts w:hint="eastAsia"/>
                <w:sz w:val="24"/>
                <w:highlight w:val="none"/>
                <w:shd w:val="clear" w:color="auto" w:fill="FFFFFF"/>
                <w:lang w:val="en-US" w:eastAsia="zh-CN"/>
              </w:rPr>
              <w:t>05</w:t>
            </w:r>
            <w:r>
              <w:rPr>
                <w:rFonts w:hint="eastAsia"/>
                <w:sz w:val="24"/>
                <w:highlight w:val="none"/>
                <w:shd w:val="clear" w:color="auto" w:fill="FFFFFF"/>
              </w:rPr>
              <w:t>t/a</w:t>
            </w:r>
            <w:r>
              <w:rPr>
                <w:rFonts w:hint="eastAsia"/>
                <w:color w:val="000000"/>
                <w:sz w:val="24"/>
                <w:szCs w:val="22"/>
                <w:highlight w:val="none"/>
              </w:rPr>
              <w:t>，排放速率为</w:t>
            </w:r>
            <w:r>
              <w:rPr>
                <w:rFonts w:hint="eastAsia"/>
                <w:color w:val="000000"/>
                <w:sz w:val="24"/>
                <w:szCs w:val="22"/>
                <w:highlight w:val="none"/>
                <w:lang w:val="en-US" w:eastAsia="zh-CN"/>
              </w:rPr>
              <w:t>0.0208</w:t>
            </w:r>
            <w:r>
              <w:rPr>
                <w:rFonts w:hint="eastAsia"/>
                <w:color w:val="000000"/>
                <w:sz w:val="24"/>
                <w:szCs w:val="22"/>
                <w:highlight w:val="none"/>
              </w:rPr>
              <w:t>kg/h</w:t>
            </w:r>
            <w:r>
              <w:rPr>
                <w:rFonts w:hint="default" w:ascii="Times New Roman" w:hAnsi="Times New Roman" w:cs="Times New Roman"/>
                <w:sz w:val="24"/>
                <w:szCs w:val="24"/>
                <w:lang w:eastAsia="zh-CN"/>
              </w:rPr>
              <w:t>，排放浓度为</w:t>
            </w:r>
            <w:r>
              <w:rPr>
                <w:rFonts w:hint="eastAsia" w:ascii="Times New Roman" w:hAnsi="Times New Roman" w:cs="Times New Roman"/>
                <w:sz w:val="24"/>
                <w:szCs w:val="24"/>
                <w:lang w:val="en-US" w:eastAsia="zh-CN"/>
              </w:rPr>
              <w:t>0.00378</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无组织</w:t>
            </w:r>
            <w:r>
              <w:rPr>
                <w:rFonts w:hint="default" w:ascii="Times New Roman" w:hAnsi="Times New Roman" w:cs="Times New Roman"/>
                <w:sz w:val="24"/>
                <w:szCs w:val="24"/>
                <w:lang w:eastAsia="zh-CN"/>
              </w:rPr>
              <w:t>非甲烷总烃</w:t>
            </w:r>
            <w:r>
              <w:rPr>
                <w:rFonts w:hint="eastAsia" w:ascii="Times New Roman" w:hAnsi="Times New Roman" w:cs="Times New Roman"/>
                <w:sz w:val="24"/>
                <w:szCs w:val="24"/>
                <w:lang w:eastAsia="zh-CN"/>
              </w:rPr>
              <w:t>满足</w:t>
            </w:r>
            <w:r>
              <w:rPr>
                <w:rFonts w:hint="default" w:ascii="Times New Roman" w:hAnsi="Times New Roman" w:cs="Times New Roman"/>
                <w:sz w:val="24"/>
                <w:szCs w:val="24"/>
                <w:lang w:eastAsia="zh-CN"/>
              </w:rPr>
              <w:t>《工业企业挥发性有机物排放控制标准》（DB13/2322-2016）表2企业边界大气污染物浓度限值</w:t>
            </w:r>
            <w:r>
              <w:rPr>
                <w:rFonts w:hint="eastAsia" w:ascii="Times New Roman" w:hAnsi="Times New Roman" w:cs="Times New Roman"/>
                <w:sz w:val="24"/>
                <w:szCs w:val="24"/>
                <w:lang w:eastAsia="zh-CN"/>
              </w:rPr>
              <w:t>要求。</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rPr>
              <w:t>③</w:t>
            </w:r>
            <w:r>
              <w:rPr>
                <w:rFonts w:hint="default" w:ascii="Times New Roman" w:hAnsi="Times New Roman" w:cs="Times New Roman"/>
                <w:sz w:val="24"/>
                <w:szCs w:val="24"/>
                <w:lang w:eastAsia="zh-CN"/>
              </w:rPr>
              <w:t>打浆产生的颗粒物</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类比同类企业，打浆工序颗粒物产生量为原材料的</w:t>
            </w:r>
            <w:r>
              <w:rPr>
                <w:rFonts w:hint="default" w:ascii="Times New Roman" w:hAnsi="Times New Roman" w:cs="Times New Roman"/>
                <w:sz w:val="24"/>
                <w:szCs w:val="24"/>
                <w:lang w:val="en-US" w:eastAsia="zh-CN"/>
              </w:rPr>
              <w:t>1%，项目原材料水泥用量为20t/a</w:t>
            </w:r>
            <w:r>
              <w:rPr>
                <w:rFonts w:hint="default" w:ascii="Times New Roman" w:hAnsi="Times New Roman" w:cs="Times New Roman"/>
                <w:sz w:val="24"/>
                <w:szCs w:val="24"/>
                <w:lang w:eastAsia="zh-CN"/>
              </w:rPr>
              <w:t>，产尘量为0.</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t/a，项目集气罩收集效率为90%，脉冲布袋除尘器除尘效率为90%，风机风量为4000m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/h，则项目有组织颗粒物产生量为0.</w:t>
            </w:r>
            <w:r>
              <w:rPr>
                <w:rFonts w:hint="default" w:ascii="Times New Roman" w:hAnsi="Times New Roman" w:cs="Times New Roman"/>
                <w:sz w:val="24"/>
                <w:szCs w:val="24"/>
                <w:lang w:val="en-US" w:eastAsia="zh-CN"/>
              </w:rPr>
              <w:t>18</w:t>
            </w:r>
            <w:r>
              <w:rPr>
                <w:rFonts w:hint="default" w:ascii="Times New Roman" w:hAnsi="Times New Roman" w:cs="Times New Roman"/>
                <w:sz w:val="24"/>
                <w:szCs w:val="24"/>
                <w:lang w:eastAsia="zh-CN"/>
              </w:rPr>
              <w:t>t/a，产生浓度为</w:t>
            </w:r>
            <w:r>
              <w:rPr>
                <w:rFonts w:hint="default" w:ascii="Times New Roman" w:hAnsi="Times New Roman" w:cs="Times New Roman"/>
                <w:sz w:val="24"/>
                <w:szCs w:val="24"/>
                <w:lang w:val="en-US" w:eastAsia="zh-CN"/>
              </w:rPr>
              <w:t>18.75</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，产生速率为0.0</w:t>
            </w:r>
            <w:r>
              <w:rPr>
                <w:rFonts w:hint="default" w:ascii="Times New Roman" w:hAnsi="Times New Roman" w:cs="Times New Roman"/>
                <w:sz w:val="24"/>
                <w:szCs w:val="24"/>
                <w:lang w:val="en-US" w:eastAsia="zh-CN"/>
              </w:rPr>
              <w:t>33</w:t>
            </w:r>
            <w:r>
              <w:rPr>
                <w:rFonts w:hint="default" w:ascii="Times New Roman" w:hAnsi="Times New Roman" w:cs="Times New Roman"/>
                <w:sz w:val="24"/>
                <w:szCs w:val="24"/>
                <w:lang w:eastAsia="zh-CN"/>
              </w:rPr>
              <w:t>kg/h。</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经脉冲布袋除尘器处理后有组织颗粒物的排放量约为0.0</w:t>
            </w:r>
            <w:r>
              <w:rPr>
                <w:rFonts w:hint="default" w:ascii="Times New Roman" w:hAnsi="Times New Roman" w:cs="Times New Roman"/>
                <w:sz w:val="24"/>
                <w:szCs w:val="24"/>
                <w:lang w:val="en-US" w:eastAsia="zh-CN"/>
              </w:rPr>
              <w:t>18</w:t>
            </w:r>
            <w:r>
              <w:rPr>
                <w:rFonts w:hint="default" w:ascii="Times New Roman" w:hAnsi="Times New Roman" w:cs="Times New Roman"/>
                <w:sz w:val="24"/>
                <w:szCs w:val="24"/>
                <w:lang w:eastAsia="zh-CN"/>
              </w:rPr>
              <w:t>t/a，排放浓度为</w:t>
            </w:r>
            <w:r>
              <w:rPr>
                <w:rFonts w:hint="default" w:ascii="Times New Roman" w:hAnsi="Times New Roman" w:cs="Times New Roman"/>
                <w:sz w:val="24"/>
                <w:szCs w:val="24"/>
                <w:lang w:val="en-US" w:eastAsia="zh-CN"/>
              </w:rPr>
              <w:t>1.875</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，排放速率为0.00</w:t>
            </w:r>
            <w:r>
              <w:rPr>
                <w:rFonts w:hint="default" w:ascii="Times New Roman" w:hAnsi="Times New Roman" w:cs="Times New Roman"/>
                <w:sz w:val="24"/>
                <w:szCs w:val="24"/>
                <w:lang w:val="en-US" w:eastAsia="zh-CN"/>
              </w:rPr>
              <w:t>33</w:t>
            </w:r>
            <w:r>
              <w:rPr>
                <w:rFonts w:hint="default" w:ascii="Times New Roman" w:hAnsi="Times New Roman" w:cs="Times New Roman"/>
                <w:sz w:val="24"/>
                <w:szCs w:val="24"/>
                <w:lang w:eastAsia="zh-CN"/>
              </w:rPr>
              <w:t>kg/h。处理后的废气满足处理后的颗粒物满足《水泥工业大气污染物排放标准》（DB2167-2015）表1中第Ⅱ时段散装水泥中转站及水泥制品生产排放标准 ，（即颗粒物≤</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0mg/m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p>
          <w:p>
            <w:pPr>
              <w:spacing w:line="480" w:lineRule="exact"/>
              <w:ind w:firstLine="480" w:firstLineChars="200"/>
              <w:rPr>
                <w:rFonts w:hint="eastAsia"/>
                <w:color w:val="000000"/>
                <w:sz w:val="24"/>
                <w:szCs w:val="22"/>
                <w:highlight w:val="none"/>
                <w:lang w:val="en-US" w:eastAsia="zh-CN"/>
              </w:rPr>
            </w:pPr>
            <w:r>
              <w:rPr>
                <w:rFonts w:hint="eastAsia" w:ascii="Times New Roman" w:hAnsi="Times New Roman" w:cs="Times New Roman"/>
                <w:sz w:val="24"/>
                <w:szCs w:val="24"/>
                <w:lang w:eastAsia="zh-CN"/>
              </w:rPr>
              <w:t>集气罩未收集的颗粒物</w:t>
            </w:r>
            <w:r>
              <w:rPr>
                <w:rFonts w:hint="eastAsia"/>
                <w:color w:val="000000"/>
                <w:sz w:val="24"/>
                <w:szCs w:val="22"/>
                <w:highlight w:val="none"/>
              </w:rPr>
              <w:t>无组织排放量大约为</w:t>
            </w:r>
            <w:r>
              <w:rPr>
                <w:rFonts w:hint="eastAsia"/>
                <w:color w:val="000000"/>
                <w:sz w:val="24"/>
                <w:szCs w:val="22"/>
                <w:highlight w:val="none"/>
                <w:lang w:val="en-US" w:eastAsia="zh-CN"/>
              </w:rPr>
              <w:t>0.02</w:t>
            </w:r>
            <w:r>
              <w:rPr>
                <w:color w:val="000000"/>
                <w:sz w:val="24"/>
                <w:szCs w:val="22"/>
                <w:highlight w:val="none"/>
              </w:rPr>
              <w:t>t/a</w:t>
            </w:r>
            <w:r>
              <w:rPr>
                <w:rFonts w:hint="eastAsia"/>
                <w:color w:val="000000"/>
                <w:sz w:val="24"/>
                <w:szCs w:val="22"/>
                <w:highlight w:val="none"/>
              </w:rPr>
              <w:t>，排放速率为</w:t>
            </w:r>
            <w:r>
              <w:rPr>
                <w:rFonts w:hint="eastAsia"/>
                <w:color w:val="000000"/>
                <w:sz w:val="24"/>
                <w:szCs w:val="22"/>
                <w:highlight w:val="none"/>
                <w:lang w:val="en-US" w:eastAsia="zh-CN"/>
              </w:rPr>
              <w:t>0.0083</w:t>
            </w:r>
            <w:r>
              <w:rPr>
                <w:rFonts w:hint="eastAsia"/>
                <w:color w:val="000000"/>
                <w:sz w:val="24"/>
                <w:szCs w:val="22"/>
                <w:highlight w:val="none"/>
              </w:rPr>
              <w:t>kg/h</w:t>
            </w:r>
            <w:r>
              <w:rPr>
                <w:rFonts w:hint="eastAsia"/>
                <w:color w:val="000000"/>
                <w:sz w:val="24"/>
                <w:szCs w:val="22"/>
                <w:highlight w:val="none"/>
                <w:lang w:eastAsia="zh-CN"/>
              </w:rPr>
              <w:t>，排放浓度为</w:t>
            </w:r>
            <w:r>
              <w:rPr>
                <w:rFonts w:hint="eastAsia"/>
                <w:color w:val="000000"/>
                <w:sz w:val="24"/>
                <w:szCs w:val="22"/>
                <w:highlight w:val="none"/>
              </w:rPr>
              <w:t>0.</w:t>
            </w:r>
            <w:r>
              <w:rPr>
                <w:rFonts w:hint="eastAsia"/>
                <w:color w:val="000000"/>
                <w:sz w:val="24"/>
                <w:szCs w:val="22"/>
                <w:highlight w:val="none"/>
                <w:lang w:val="en-US" w:eastAsia="zh-CN"/>
              </w:rPr>
              <w:t>00316</w:t>
            </w:r>
            <w:r>
              <w:rPr>
                <w:rFonts w:hint="default"/>
                <w:color w:val="000000"/>
                <w:sz w:val="24"/>
                <w:szCs w:val="22"/>
                <w:highlight w:val="none"/>
                <w:lang w:eastAsia="zh-CN"/>
              </w:rPr>
              <w:t>mg/m</w:t>
            </w:r>
            <w:r>
              <w:rPr>
                <w:rFonts w:hint="default"/>
                <w:color w:val="000000"/>
                <w:sz w:val="24"/>
                <w:szCs w:val="22"/>
                <w:highlight w:val="none"/>
                <w:vertAlign w:val="superscript"/>
                <w:lang w:eastAsia="zh-CN"/>
              </w:rPr>
              <w:t>3</w:t>
            </w:r>
            <w:r>
              <w:rPr>
                <w:rFonts w:hint="default"/>
                <w:color w:val="000000"/>
                <w:sz w:val="24"/>
                <w:szCs w:val="22"/>
                <w:highlight w:val="none"/>
                <w:lang w:eastAsia="zh-CN"/>
              </w:rPr>
              <w:t>。</w:t>
            </w:r>
            <w:r>
              <w:rPr>
                <w:rFonts w:hint="eastAsia"/>
                <w:color w:val="000000"/>
                <w:sz w:val="24"/>
                <w:szCs w:val="22"/>
                <w:highlight w:val="none"/>
                <w:lang w:eastAsia="zh-CN"/>
              </w:rPr>
              <w:t>满足</w:t>
            </w:r>
            <w:r>
              <w:rPr>
                <w:rFonts w:hint="default"/>
                <w:color w:val="000000"/>
                <w:sz w:val="24"/>
                <w:szCs w:val="22"/>
                <w:highlight w:val="none"/>
                <w:lang w:eastAsia="zh-CN"/>
              </w:rPr>
              <w:t>《水泥工业大气污染物排放标准》（DB2167-2015）表2大气污染物无组织排放监控浓度限值要求</w:t>
            </w:r>
            <w:r>
              <w:rPr>
                <w:rFonts w:hint="eastAsia"/>
                <w:color w:val="000000"/>
                <w:sz w:val="24"/>
                <w:szCs w:val="22"/>
                <w:highlight w:val="none"/>
                <w:lang w:eastAsia="zh-CN"/>
              </w:rPr>
              <w:t>。</w:t>
            </w:r>
          </w:p>
          <w:p>
            <w:pPr>
              <w:spacing w:line="480" w:lineRule="exact"/>
              <w:ind w:firstLine="420" w:firstLineChars="200"/>
              <w:rPr>
                <w:rFonts w:hint="default" w:ascii="Times New Roman" w:hAnsi="Times New Roman" w:cs="Times New Roman"/>
                <w:sz w:val="24"/>
                <w:szCs w:val="24"/>
                <w:lang w:val="en-US" w:eastAsia="zh-CN"/>
              </w:rPr>
            </w:pPr>
            <w:r>
              <w:rPr>
                <w:rFonts w:hint="eastAsia"/>
                <w:lang w:val="en-US" w:eastAsia="zh-CN"/>
              </w:rPr>
              <w:t>3</w:t>
            </w:r>
            <w:r>
              <w:rPr>
                <w:rFonts w:hint="default" w:ascii="Times New Roman" w:hAnsi="Times New Roman" w:cs="Times New Roman"/>
                <w:sz w:val="24"/>
                <w:szCs w:val="24"/>
                <w:lang w:val="en-US" w:eastAsia="zh-CN"/>
              </w:rPr>
              <w:t>.大气环境防护距离计算</w:t>
            </w:r>
          </w:p>
          <w:p>
            <w:pPr>
              <w:spacing w:line="480" w:lineRule="exact"/>
              <w:ind w:firstLine="422" w:firstLineChars="176"/>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根据《环境影响评价技术导则 大气环境》(HJ2.2-2018)中关于大气环境防护距离方法的规定和以上有组织及无组织排放计算结果，本项目厂界外不存在超标点，因此不需设大气环境防护距离。</w:t>
            </w:r>
          </w:p>
          <w:p>
            <w:pPr>
              <w:spacing w:line="480" w:lineRule="exact"/>
              <w:ind w:firstLine="424" w:firstLineChars="176"/>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2、水环境影响分析</w:t>
            </w:r>
          </w:p>
          <w:p>
            <w:pPr>
              <w:spacing w:line="360" w:lineRule="auto"/>
              <w:ind w:firstLine="480" w:firstLineChars="200"/>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蒸汽灌用水，用水量约</w:t>
            </w:r>
            <w:r>
              <w:rPr>
                <w:rFonts w:hint="default" w:ascii="Times New Roman" w:hAnsi="Times New Roman" w:eastAsia="宋体" w:cs="Times New Roman"/>
                <w:sz w:val="24"/>
                <w:lang w:val="en-US" w:eastAsia="zh-CN"/>
              </w:rPr>
              <w:t>1.88</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/d</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564m</w:t>
            </w:r>
            <w:r>
              <w:rPr>
                <w:rFonts w:hint="default" w:ascii="Times New Roman" w:hAnsi="Times New Roman" w:cs="Times New Roman"/>
                <w:sz w:val="24"/>
                <w:highlight w:val="none"/>
                <w:vertAlign w:val="superscript"/>
                <w:lang w:val="en-US" w:eastAsia="zh-CN"/>
              </w:rPr>
              <w:t>3</w:t>
            </w:r>
            <w:r>
              <w:rPr>
                <w:rFonts w:hint="default" w:ascii="Times New Roman" w:hAnsi="Times New Roman" w:cs="Times New Roman"/>
                <w:sz w:val="24"/>
                <w:highlight w:val="none"/>
                <w:lang w:val="en-US" w:eastAsia="zh-CN"/>
              </w:rPr>
              <w:t>/a</w:t>
            </w:r>
            <w:r>
              <w:rPr>
                <w:rFonts w:hint="default" w:ascii="Times New Roman" w:hAnsi="Times New Roman" w:eastAsia="宋体" w:cs="Times New Roman"/>
                <w:sz w:val="24"/>
              </w:rPr>
              <w:t>）</w:t>
            </w:r>
            <w:r>
              <w:rPr>
                <w:rFonts w:hint="default" w:ascii="Times New Roman" w:hAnsi="Times New Roman" w:cs="Times New Roman"/>
                <w:sz w:val="24"/>
                <w:highlight w:val="none"/>
                <w:lang w:val="en-US" w:eastAsia="zh-CN"/>
              </w:rPr>
              <w:t>，全部随物料带走，最终蒸发。</w:t>
            </w:r>
          </w:p>
          <w:p>
            <w:pPr>
              <w:spacing w:line="360" w:lineRule="auto"/>
              <w:ind w:firstLine="480" w:firstLineChars="200"/>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打浆用水，用水量约</w:t>
            </w:r>
            <w:r>
              <w:rPr>
                <w:rFonts w:hint="default" w:ascii="Times New Roman" w:hAnsi="Times New Roman" w:eastAsia="宋体" w:cs="Times New Roman"/>
                <w:sz w:val="24"/>
                <w:lang w:val="en-US" w:eastAsia="zh-CN"/>
              </w:rPr>
              <w:t>0.05</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/d</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15m</w:t>
            </w:r>
            <w:r>
              <w:rPr>
                <w:rFonts w:hint="default" w:ascii="Times New Roman" w:hAnsi="Times New Roman" w:cs="Times New Roman"/>
                <w:sz w:val="24"/>
                <w:highlight w:val="none"/>
                <w:vertAlign w:val="superscript"/>
                <w:lang w:val="en-US" w:eastAsia="zh-CN"/>
              </w:rPr>
              <w:t>3</w:t>
            </w:r>
            <w:r>
              <w:rPr>
                <w:rFonts w:hint="default" w:ascii="Times New Roman" w:hAnsi="Times New Roman" w:cs="Times New Roman"/>
                <w:sz w:val="24"/>
                <w:highlight w:val="none"/>
                <w:lang w:val="en-US" w:eastAsia="zh-CN"/>
              </w:rPr>
              <w:t>/a</w:t>
            </w:r>
            <w:r>
              <w:rPr>
                <w:rFonts w:hint="default" w:ascii="Times New Roman" w:hAnsi="Times New Roman" w:eastAsia="宋体" w:cs="Times New Roman"/>
                <w:sz w:val="24"/>
              </w:rPr>
              <w:t>）</w:t>
            </w:r>
            <w:r>
              <w:rPr>
                <w:rFonts w:hint="default" w:ascii="Times New Roman" w:hAnsi="Times New Roman" w:cs="Times New Roman"/>
                <w:sz w:val="24"/>
                <w:highlight w:val="none"/>
                <w:lang w:val="en-US" w:eastAsia="zh-CN"/>
              </w:rPr>
              <w:t>，全部随物料带走。</w:t>
            </w:r>
          </w:p>
          <w:p>
            <w:pPr>
              <w:spacing w:line="360" w:lineRule="auto"/>
              <w:ind w:firstLine="480" w:firstLineChars="200"/>
              <w:rPr>
                <w:rFonts w:hint="default" w:ascii="Times New Roman" w:hAnsi="Times New Roman" w:cs="Times New Roman"/>
                <w:b w:val="0"/>
                <w:bCs w:val="0"/>
                <w:sz w:val="24"/>
                <w:highlight w:val="none"/>
              </w:rPr>
            </w:pPr>
            <w:r>
              <w:rPr>
                <w:rFonts w:hint="default" w:ascii="Times New Roman" w:hAnsi="Times New Roman" w:cs="Times New Roman"/>
                <w:sz w:val="24"/>
                <w:highlight w:val="none"/>
                <w:lang w:val="en-US" w:eastAsia="zh-CN"/>
              </w:rPr>
              <w:t>生活用水主要为职工日常饮用、盥洗用水，项目职工均为附近人员，不设宿舍、食堂、淋浴室等生活设施，生活用水量很少，生活废水主要是职工盥洗废水。</w:t>
            </w:r>
            <w:r>
              <w:rPr>
                <w:rFonts w:hint="default" w:ascii="Times New Roman" w:hAnsi="Times New Roman" w:eastAsia="宋体" w:cs="Times New Roman"/>
                <w:sz w:val="24"/>
              </w:rPr>
              <w:t>职工生活用水按每人每天用水10L计，则本项目职工生活用水量为0.12</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/d</w:t>
            </w:r>
            <w:r>
              <w:rPr>
                <w:rFonts w:hint="default" w:ascii="Times New Roman" w:hAnsi="Times New Roman" w:eastAsia="宋体" w:cs="Times New Roman"/>
                <w:sz w:val="24"/>
              </w:rPr>
              <w:t>（36</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3</w:t>
            </w:r>
            <w:r>
              <w:rPr>
                <w:rFonts w:hint="default" w:ascii="Times New Roman" w:hAnsi="Times New Roman" w:eastAsia="宋体" w:cs="Times New Roman"/>
                <w:sz w:val="24"/>
              </w:rPr>
              <w:t>/a）</w:t>
            </w:r>
            <w:r>
              <w:rPr>
                <w:rFonts w:hint="default" w:ascii="Times New Roman" w:hAnsi="Times New Roman" w:eastAsia="宋体" w:cs="Times New Roman"/>
                <w:sz w:val="24"/>
                <w:lang w:eastAsia="zh-CN"/>
              </w:rPr>
              <w:t>，</w:t>
            </w:r>
            <w:r>
              <w:rPr>
                <w:rFonts w:hint="default" w:ascii="Times New Roman" w:hAnsi="Times New Roman" w:cs="Times New Roman"/>
                <w:sz w:val="24"/>
                <w:highlight w:val="none"/>
              </w:rPr>
              <w:t>按照生活污水产生系数0.8计算得出，污水产生量为0.</w:t>
            </w:r>
            <w:r>
              <w:rPr>
                <w:rFonts w:hint="default" w:ascii="Times New Roman" w:hAnsi="Times New Roman" w:cs="Times New Roman"/>
                <w:sz w:val="24"/>
                <w:highlight w:val="none"/>
                <w:lang w:val="en-US" w:eastAsia="zh-CN"/>
              </w:rPr>
              <w:t>096</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/d</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28.8</w:t>
            </w:r>
            <w:r>
              <w:rPr>
                <w:rFonts w:hint="default" w:ascii="Times New Roman" w:hAnsi="Times New Roman" w:cs="Times New Roman"/>
                <w:bCs/>
                <w:sz w:val="24"/>
                <w:highlight w:val="none"/>
              </w:rPr>
              <w:t>m</w:t>
            </w:r>
            <w:r>
              <w:rPr>
                <w:rFonts w:hint="default" w:ascii="Times New Roman" w:hAnsi="Times New Roman" w:cs="Times New Roman"/>
                <w:bCs/>
                <w:sz w:val="24"/>
                <w:highlight w:val="none"/>
                <w:vertAlign w:val="superscript"/>
              </w:rPr>
              <w:t>3</w:t>
            </w:r>
            <w:r>
              <w:rPr>
                <w:rFonts w:hint="default" w:ascii="Times New Roman" w:hAnsi="Times New Roman" w:cs="Times New Roman"/>
                <w:bCs/>
                <w:sz w:val="24"/>
                <w:highlight w:val="none"/>
              </w:rPr>
              <w:t>/a</w:t>
            </w:r>
            <w:r>
              <w:rPr>
                <w:rFonts w:hint="default" w:ascii="Times New Roman" w:hAnsi="Times New Roman" w:cs="Times New Roman"/>
                <w:bCs/>
                <w:sz w:val="24"/>
                <w:highlight w:val="none"/>
                <w:lang w:eastAsia="zh-CN"/>
              </w:rPr>
              <w:t>）</w:t>
            </w:r>
            <w:r>
              <w:rPr>
                <w:rFonts w:hint="default" w:ascii="Times New Roman" w:hAnsi="Times New Roman" w:cs="Times New Roman"/>
                <w:sz w:val="24"/>
                <w:highlight w:val="none"/>
              </w:rPr>
              <w:t>，水量少且水质简单，全部用于厂区泼洒抑尘</w:t>
            </w:r>
            <w:r>
              <w:rPr>
                <w:rFonts w:hint="default" w:ascii="Times New Roman" w:hAnsi="Times New Roman" w:cs="Times New Roman"/>
                <w:b w:val="0"/>
                <w:bCs w:val="0"/>
                <w:sz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sz w:val="24"/>
                <w:highlight w:val="none"/>
              </w:rPr>
            </w:pPr>
            <w:r>
              <w:rPr>
                <w:rFonts w:hint="default" w:ascii="Times New Roman" w:hAnsi="Times New Roman" w:cs="Times New Roman"/>
                <w:b w:val="0"/>
                <w:bCs w:val="0"/>
                <w:sz w:val="24"/>
                <w:highlight w:val="none"/>
                <w:lang w:eastAsia="zh-CN"/>
              </w:rPr>
              <w:t>因此，本项目对水环境影响较小。</w:t>
            </w:r>
          </w:p>
          <w:p>
            <w:pPr>
              <w:keepNext w:val="0"/>
              <w:keepLines w:val="0"/>
              <w:pageBreakBefore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cs="Times New Roman"/>
                <w:b/>
                <w:bCs/>
                <w:sz w:val="24"/>
                <w:highlight w:val="none"/>
              </w:rPr>
            </w:pPr>
            <w:r>
              <w:rPr>
                <w:rFonts w:hint="default" w:ascii="Times New Roman" w:hAnsi="Times New Roman" w:cs="Times New Roman"/>
                <w:b/>
                <w:bCs/>
                <w:sz w:val="24"/>
                <w:highlight w:val="none"/>
              </w:rPr>
              <w:t>3、声环境影响分析</w:t>
            </w:r>
          </w:p>
          <w:p>
            <w:pPr>
              <w:spacing w:line="480" w:lineRule="exact"/>
              <w:ind w:firstLine="420" w:firstLineChars="200"/>
              <w:jc w:val="left"/>
              <w:rPr>
                <w:rFonts w:hint="default" w:ascii="Times New Roman" w:hAnsi="Times New Roman" w:cs="Times New Roman"/>
                <w:szCs w:val="24"/>
              </w:rPr>
            </w:pPr>
            <w:r>
              <w:rPr>
                <w:rFonts w:hint="default" w:ascii="Times New Roman" w:hAnsi="Times New Roman" w:cs="Times New Roman"/>
              </w:rPr>
              <w:t xml:space="preserve">  </w:t>
            </w:r>
            <w:r>
              <w:rPr>
                <w:rFonts w:hint="default" w:ascii="Times New Roman" w:hAnsi="Times New Roman" w:cs="Times New Roman"/>
                <w:sz w:val="24"/>
                <w:szCs w:val="24"/>
              </w:rPr>
              <w:t>本项目主要噪声源为发泡机</w:t>
            </w:r>
            <w:r>
              <w:rPr>
                <w:rFonts w:hint="default" w:ascii="Times New Roman" w:hAnsi="Times New Roman" w:cs="Times New Roman"/>
                <w:sz w:val="24"/>
                <w:szCs w:val="24"/>
                <w:lang w:eastAsia="zh-CN"/>
              </w:rPr>
              <w:t>、打板机</w:t>
            </w:r>
            <w:r>
              <w:rPr>
                <w:rFonts w:hint="default" w:ascii="Times New Roman" w:hAnsi="Times New Roman" w:cs="Times New Roman"/>
                <w:sz w:val="24"/>
                <w:szCs w:val="24"/>
              </w:rPr>
              <w:t>等机械运行噪声，产噪值在</w:t>
            </w:r>
            <w:r>
              <w:rPr>
                <w:rFonts w:hint="default" w:ascii="Times New Roman" w:hAnsi="Times New Roman" w:cs="Times New Roman"/>
                <w:sz w:val="24"/>
                <w:szCs w:val="24"/>
                <w:lang w:val="en-US" w:eastAsia="zh-CN"/>
              </w:rPr>
              <w:t>75</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92</w:t>
            </w:r>
            <w:r>
              <w:rPr>
                <w:rFonts w:hint="default" w:ascii="Times New Roman" w:hAnsi="Times New Roman" w:cs="Times New Roman"/>
                <w:sz w:val="24"/>
                <w:szCs w:val="24"/>
              </w:rPr>
              <w:t>dB</w:t>
            </w:r>
            <w:r>
              <w:rPr>
                <w:rFonts w:hint="default" w:ascii="Times New Roman" w:hAnsi="Times New Roman" w:cs="Times New Roman"/>
                <w:sz w:val="24"/>
                <w:szCs w:val="24"/>
                <w:lang w:eastAsia="zh-CN"/>
              </w:rPr>
              <w:t>（</w:t>
            </w:r>
            <w:r>
              <w:rPr>
                <w:rFonts w:hint="default" w:ascii="Times New Roman" w:hAnsi="Times New Roman" w:cs="Times New Roman"/>
                <w:sz w:val="24"/>
                <w:szCs w:val="24"/>
              </w:rPr>
              <w:t>A</w:t>
            </w:r>
            <w:r>
              <w:rPr>
                <w:rFonts w:hint="default" w:ascii="Times New Roman" w:hAnsi="Times New Roman" w:cs="Times New Roman"/>
                <w:sz w:val="24"/>
                <w:szCs w:val="24"/>
                <w:lang w:eastAsia="zh-CN"/>
              </w:rPr>
              <w:t>）</w:t>
            </w:r>
            <w:r>
              <w:rPr>
                <w:rFonts w:hint="default" w:ascii="Times New Roman" w:hAnsi="Times New Roman" w:cs="Times New Roman"/>
                <w:sz w:val="24"/>
                <w:szCs w:val="24"/>
              </w:rPr>
              <w:t>之间，</w:t>
            </w:r>
            <w:r>
              <w:rPr>
                <w:rFonts w:hint="default" w:ascii="Times New Roman" w:hAnsi="Times New Roman" w:cs="Times New Roman"/>
                <w:color w:val="auto"/>
                <w:sz w:val="24"/>
              </w:rPr>
              <w:t>项目将生产设备置于封闭车间内，基础加装减震垫。采取上述措施后，可综合降噪</w:t>
            </w:r>
            <w:r>
              <w:rPr>
                <w:rFonts w:hint="default" w:ascii="Times New Roman" w:hAnsi="Times New Roman" w:cs="Times New Roman"/>
                <w:color w:val="auto"/>
                <w:sz w:val="24"/>
                <w:lang w:val="en-US" w:eastAsia="zh-CN"/>
              </w:rPr>
              <w:t>30</w:t>
            </w:r>
            <w:r>
              <w:rPr>
                <w:rFonts w:hint="default" w:ascii="Times New Roman" w:hAnsi="Times New Roman" w:cs="Times New Roman"/>
                <w:color w:val="auto"/>
                <w:sz w:val="24"/>
              </w:rPr>
              <w:t>dB</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A</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左右</w:t>
            </w:r>
            <w:r>
              <w:rPr>
                <w:rFonts w:hint="default" w:ascii="Times New Roman" w:hAnsi="Times New Roman" w:cs="Times New Roman"/>
                <w:sz w:val="24"/>
              </w:rPr>
              <w:t>。</w:t>
            </w:r>
            <w:r>
              <w:rPr>
                <w:rFonts w:hint="default" w:ascii="Times New Roman" w:hAnsi="Times New Roman" w:cs="Times New Roman"/>
                <w:sz w:val="24"/>
                <w:szCs w:val="24"/>
              </w:rPr>
              <w:t>建设项目主要噪声源及治理效果见表</w:t>
            </w: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rPr>
              <w:t>表</w:t>
            </w:r>
            <w:r>
              <w:rPr>
                <w:rFonts w:hint="default" w:ascii="Times New Roman" w:hAnsi="Times New Roman" w:cs="Times New Roman"/>
                <w:b/>
                <w:bCs/>
                <w:sz w:val="24"/>
                <w:szCs w:val="24"/>
                <w:lang w:val="en-US" w:eastAsia="zh-CN"/>
              </w:rPr>
              <w:t>2</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highlight w:val="none"/>
              </w:rPr>
              <w:t xml:space="preserve">  主要噪声源参数  单位：dB</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rPr>
              <w:t>A</w:t>
            </w:r>
            <w:r>
              <w:rPr>
                <w:rFonts w:hint="default" w:ascii="Times New Roman" w:hAnsi="Times New Roman" w:cs="Times New Roman"/>
                <w:b/>
                <w:bCs/>
                <w:sz w:val="24"/>
                <w:szCs w:val="24"/>
                <w:highlight w:val="none"/>
                <w:lang w:eastAsia="zh-CN"/>
              </w:rPr>
              <w:t>）</w:t>
            </w:r>
          </w:p>
          <w:tbl>
            <w:tblPr>
              <w:tblStyle w:val="37"/>
              <w:tblW w:w="907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24"/>
              <w:gridCol w:w="542"/>
              <w:gridCol w:w="766"/>
              <w:gridCol w:w="1234"/>
              <w:gridCol w:w="2839"/>
              <w:gridCol w:w="15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1524"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机械设备</w:t>
                  </w:r>
                </w:p>
              </w:tc>
              <w:tc>
                <w:tcPr>
                  <w:tcW w:w="542"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数量</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单位</w:t>
                  </w:r>
                </w:p>
              </w:tc>
              <w:tc>
                <w:tcPr>
                  <w:tcW w:w="1234" w:type="dxa"/>
                  <w:tcBorders>
                    <w:tl2br w:val="nil"/>
                    <w:tr2bl w:val="nil"/>
                  </w:tcBorders>
                  <w:noWrap w:val="0"/>
                  <w:vAlign w:val="center"/>
                </w:tcPr>
                <w:p>
                  <w:pPr>
                    <w:spacing w:line="300" w:lineRule="exact"/>
                    <w:jc w:val="center"/>
                    <w:rPr>
                      <w:rFonts w:hint="default" w:ascii="Times New Roman" w:hAnsi="Times New Roman" w:eastAsia="宋体" w:cs="Times New Roman"/>
                      <w:spacing w:val="-6"/>
                      <w:szCs w:val="21"/>
                      <w:lang w:eastAsia="zh-CN"/>
                    </w:rPr>
                  </w:pPr>
                  <w:r>
                    <w:rPr>
                      <w:rFonts w:hint="default" w:ascii="Times New Roman" w:hAnsi="Times New Roman" w:cs="Times New Roman"/>
                      <w:spacing w:val="-6"/>
                      <w:szCs w:val="21"/>
                    </w:rPr>
                    <w:t>源强dB</w:t>
                  </w:r>
                  <w:r>
                    <w:rPr>
                      <w:rFonts w:hint="default" w:ascii="Times New Roman" w:hAnsi="Times New Roman" w:cs="Times New Roman"/>
                      <w:spacing w:val="-6"/>
                      <w:szCs w:val="21"/>
                      <w:lang w:eastAsia="zh-CN"/>
                    </w:rPr>
                    <w:t>（</w:t>
                  </w:r>
                  <w:r>
                    <w:rPr>
                      <w:rFonts w:hint="default" w:ascii="Times New Roman" w:hAnsi="Times New Roman" w:cs="Times New Roman"/>
                      <w:spacing w:val="-6"/>
                      <w:szCs w:val="21"/>
                    </w:rPr>
                    <w:t>A</w:t>
                  </w:r>
                  <w:r>
                    <w:rPr>
                      <w:rFonts w:hint="default" w:ascii="Times New Roman" w:hAnsi="Times New Roman" w:cs="Times New Roman"/>
                      <w:spacing w:val="-6"/>
                      <w:szCs w:val="21"/>
                      <w:lang w:eastAsia="zh-CN"/>
                    </w:rPr>
                    <w:t>）</w:t>
                  </w:r>
                </w:p>
              </w:tc>
              <w:tc>
                <w:tcPr>
                  <w:tcW w:w="2839" w:type="dxa"/>
                  <w:tcBorders>
                    <w:tl2br w:val="nil"/>
                    <w:tr2bl w:val="nil"/>
                  </w:tcBorders>
                  <w:noWrap w:val="0"/>
                  <w:vAlign w:val="center"/>
                </w:tcPr>
                <w:p>
                  <w:pPr>
                    <w:tabs>
                      <w:tab w:val="left" w:pos="1200"/>
                    </w:tabs>
                    <w:spacing w:line="300" w:lineRule="exact"/>
                    <w:jc w:val="center"/>
                    <w:rPr>
                      <w:rFonts w:hint="default" w:ascii="Times New Roman" w:hAnsi="Times New Roman" w:cs="Times New Roman"/>
                      <w:szCs w:val="21"/>
                    </w:rPr>
                  </w:pPr>
                  <w:r>
                    <w:rPr>
                      <w:rFonts w:hint="default" w:ascii="Times New Roman" w:hAnsi="Times New Roman" w:cs="Times New Roman"/>
                      <w:szCs w:val="21"/>
                    </w:rPr>
                    <w:t>治理措施</w:t>
                  </w:r>
                </w:p>
              </w:tc>
              <w:tc>
                <w:tcPr>
                  <w:tcW w:w="1509" w:type="dxa"/>
                  <w:tcBorders>
                    <w:tl2br w:val="nil"/>
                    <w:tr2bl w:val="nil"/>
                  </w:tcBorders>
                  <w:noWrap w:val="0"/>
                  <w:vAlign w:val="center"/>
                </w:tcPr>
                <w:p>
                  <w:pPr>
                    <w:tabs>
                      <w:tab w:val="left" w:pos="1200"/>
                    </w:tabs>
                    <w:spacing w:line="300" w:lineRule="exact"/>
                    <w:jc w:val="center"/>
                    <w:rPr>
                      <w:rFonts w:hint="default" w:ascii="Times New Roman" w:hAnsi="Times New Roman" w:cs="Times New Roman"/>
                      <w:szCs w:val="21"/>
                    </w:rPr>
                  </w:pPr>
                  <w:r>
                    <w:rPr>
                      <w:rFonts w:hint="default" w:ascii="Times New Roman" w:hAnsi="Times New Roman" w:cs="Times New Roman"/>
                      <w:bCs/>
                      <w:color w:val="auto"/>
                      <w:sz w:val="21"/>
                      <w:szCs w:val="21"/>
                      <w:highlight w:val="none"/>
                      <w:shd w:val="clear" w:color="auto" w:fill="auto"/>
                      <w:lang w:eastAsia="zh-CN"/>
                    </w:rPr>
                    <w:t>车间外噪声值</w:t>
                  </w:r>
                  <w:r>
                    <w:rPr>
                      <w:rFonts w:hint="default" w:ascii="Times New Roman" w:hAnsi="Times New Roman" w:cs="Times New Roman"/>
                      <w:spacing w:val="-6"/>
                      <w:szCs w:val="21"/>
                    </w:rPr>
                    <w:t>dB</w:t>
                  </w:r>
                  <w:r>
                    <w:rPr>
                      <w:rFonts w:hint="default" w:ascii="Times New Roman" w:hAnsi="Times New Roman" w:cs="Times New Roman"/>
                      <w:spacing w:val="-6"/>
                      <w:szCs w:val="21"/>
                      <w:lang w:eastAsia="zh-CN"/>
                    </w:rPr>
                    <w:t>（</w:t>
                  </w:r>
                  <w:r>
                    <w:rPr>
                      <w:rFonts w:hint="default" w:ascii="Times New Roman" w:hAnsi="Times New Roman" w:cs="Times New Roman"/>
                      <w:spacing w:val="-6"/>
                      <w:szCs w:val="21"/>
                    </w:rPr>
                    <w:t>A</w:t>
                  </w:r>
                  <w:r>
                    <w:rPr>
                      <w:rFonts w:hint="default" w:ascii="Times New Roman" w:hAnsi="Times New Roman" w:cs="Times New Roman"/>
                      <w:spacing w:val="-6"/>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pacing w:val="-6"/>
                      <w:szCs w:val="21"/>
                    </w:rPr>
                  </w:pPr>
                  <w:r>
                    <w:rPr>
                      <w:rFonts w:hint="default" w:ascii="Times New Roman" w:hAnsi="Times New Roman" w:cs="Times New Roman"/>
                    </w:rPr>
                    <w:t>发泡机</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szCs w:val="21"/>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80</w:t>
                  </w:r>
                </w:p>
              </w:tc>
              <w:tc>
                <w:tcPr>
                  <w:tcW w:w="2839" w:type="dxa"/>
                  <w:vMerge w:val="restart"/>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生产设备置于封闭车间内，基础加装减震垫</w:t>
                  </w:r>
                </w:p>
              </w:tc>
              <w:tc>
                <w:tcPr>
                  <w:tcW w:w="1509" w:type="dxa"/>
                  <w:vMerge w:val="restart"/>
                  <w:tcBorders>
                    <w:tl2br w:val="nil"/>
                    <w:tr2bl w:val="nil"/>
                  </w:tcBorders>
                  <w:noWrap w:val="0"/>
                  <w:vAlign w:val="center"/>
                </w:tcPr>
                <w:p>
                  <w:pPr>
                    <w:tabs>
                      <w:tab w:val="left" w:pos="1200"/>
                    </w:tabs>
                    <w:spacing w:line="300" w:lineRule="exact"/>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58.83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打板机</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92</w:t>
                  </w:r>
                </w:p>
              </w:tc>
              <w:tc>
                <w:tcPr>
                  <w:tcW w:w="283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抽真空气罐</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80</w:t>
                  </w:r>
                </w:p>
              </w:tc>
              <w:tc>
                <w:tcPr>
                  <w:tcW w:w="283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螺杆空压机</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75</w:t>
                  </w:r>
                </w:p>
              </w:tc>
              <w:tc>
                <w:tcPr>
                  <w:tcW w:w="283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空压机储气罐</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80</w:t>
                  </w:r>
                </w:p>
              </w:tc>
              <w:tc>
                <w:tcPr>
                  <w:tcW w:w="283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6</w:t>
                  </w:r>
                </w:p>
              </w:tc>
              <w:tc>
                <w:tcPr>
                  <w:tcW w:w="1524" w:type="dxa"/>
                  <w:tcBorders>
                    <w:tl2br w:val="nil"/>
                    <w:tr2bl w:val="nil"/>
                  </w:tcBorders>
                  <w:noWrap w:val="0"/>
                  <w:vAlign w:val="top"/>
                </w:tcPr>
                <w:p>
                  <w:pPr>
                    <w:spacing w:line="360" w:lineRule="auto"/>
                    <w:ind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rPr>
                    <w:t>蒸汽储气罐</w:t>
                  </w:r>
                </w:p>
              </w:tc>
              <w:tc>
                <w:tcPr>
                  <w:tcW w:w="542" w:type="dxa"/>
                  <w:tcBorders>
                    <w:tl2br w:val="nil"/>
                    <w:tr2bl w:val="nil"/>
                  </w:tcBorders>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tcBorders>
                    <w:tl2br w:val="nil"/>
                    <w:tr2bl w:val="nil"/>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tcBorders>
                    <w:tl2br w:val="nil"/>
                    <w:tr2bl w:val="nil"/>
                  </w:tcBorders>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80</w:t>
                  </w:r>
                </w:p>
              </w:tc>
              <w:tc>
                <w:tcPr>
                  <w:tcW w:w="283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c>
                <w:tcPr>
                  <w:tcW w:w="1509" w:type="dxa"/>
                  <w:vMerge w:val="continue"/>
                  <w:tcBorders>
                    <w:tl2br w:val="nil"/>
                    <w:tr2bl w:val="nil"/>
                  </w:tcBorders>
                  <w:noWrap w:val="0"/>
                  <w:vAlign w:val="center"/>
                </w:tcPr>
                <w:p>
                  <w:pPr>
                    <w:tabs>
                      <w:tab w:val="left" w:pos="1200"/>
                    </w:tabs>
                    <w:spacing w:line="300" w:lineRule="exact"/>
                    <w:jc w:val="center"/>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7</w:t>
                  </w:r>
                </w:p>
              </w:tc>
              <w:tc>
                <w:tcPr>
                  <w:tcW w:w="1524" w:type="dxa"/>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lang w:eastAsia="zh-CN"/>
                    </w:rPr>
                    <w:t>燃气</w:t>
                  </w:r>
                  <w:r>
                    <w:rPr>
                      <w:rFonts w:hint="default" w:ascii="Times New Roman" w:hAnsi="Times New Roman" w:cs="Times New Roman"/>
                    </w:rPr>
                    <w:t>锅炉</w:t>
                  </w:r>
                </w:p>
              </w:tc>
              <w:tc>
                <w:tcPr>
                  <w:tcW w:w="542" w:type="dxa"/>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90</w:t>
                  </w:r>
                </w:p>
              </w:tc>
              <w:tc>
                <w:tcPr>
                  <w:tcW w:w="2839" w:type="dxa"/>
                  <w:vMerge w:val="continue"/>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noWrap w:val="0"/>
                  <w:vAlign w:val="center"/>
                </w:tcPr>
                <w:p>
                  <w:pPr>
                    <w:tabs>
                      <w:tab w:val="left" w:pos="1200"/>
                    </w:tabs>
                    <w:spacing w:line="30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w:t>
                  </w:r>
                </w:p>
              </w:tc>
              <w:tc>
                <w:tcPr>
                  <w:tcW w:w="1524" w:type="dxa"/>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保温板切割机</w:t>
                  </w:r>
                </w:p>
              </w:tc>
              <w:tc>
                <w:tcPr>
                  <w:tcW w:w="542" w:type="dxa"/>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3</w:t>
                  </w:r>
                </w:p>
              </w:tc>
              <w:tc>
                <w:tcPr>
                  <w:tcW w:w="766" w:type="dxa"/>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85</w:t>
                  </w:r>
                </w:p>
              </w:tc>
              <w:tc>
                <w:tcPr>
                  <w:tcW w:w="2839" w:type="dxa"/>
                  <w:vMerge w:val="continue"/>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noWrap w:val="0"/>
                  <w:vAlign w:val="center"/>
                </w:tcPr>
                <w:p>
                  <w:pPr>
                    <w:tabs>
                      <w:tab w:val="left" w:pos="1200"/>
                    </w:tabs>
                    <w:spacing w:line="30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9</w:t>
                  </w:r>
                </w:p>
              </w:tc>
              <w:tc>
                <w:tcPr>
                  <w:tcW w:w="1524" w:type="dxa"/>
                  <w:noWrap w:val="0"/>
                  <w:vAlign w:val="top"/>
                </w:tcPr>
                <w:p>
                  <w:pPr>
                    <w:spacing w:line="360" w:lineRule="auto"/>
                    <w:ind w:firstLine="0" w:firstLineChars="0"/>
                    <w:jc w:val="center"/>
                    <w:rPr>
                      <w:rFonts w:hint="default" w:ascii="Times New Roman" w:hAnsi="Times New Roman" w:cs="Times New Roman"/>
                      <w:spacing w:val="-6"/>
                      <w:szCs w:val="21"/>
                      <w:lang w:val="en-US" w:eastAsia="zh-CN"/>
                    </w:rPr>
                  </w:pPr>
                  <w:r>
                    <w:rPr>
                      <w:rFonts w:hint="default" w:ascii="Times New Roman" w:hAnsi="Times New Roman" w:cs="Times New Roman"/>
                    </w:rPr>
                    <w:t>包装机</w:t>
                  </w:r>
                </w:p>
              </w:tc>
              <w:tc>
                <w:tcPr>
                  <w:tcW w:w="542" w:type="dxa"/>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80</w:t>
                  </w:r>
                </w:p>
              </w:tc>
              <w:tc>
                <w:tcPr>
                  <w:tcW w:w="2839" w:type="dxa"/>
                  <w:vMerge w:val="continue"/>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noWrap w:val="0"/>
                  <w:vAlign w:val="center"/>
                </w:tcPr>
                <w:p>
                  <w:pPr>
                    <w:tabs>
                      <w:tab w:val="left" w:pos="1200"/>
                    </w:tabs>
                    <w:spacing w:line="30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w:t>
                  </w:r>
                </w:p>
              </w:tc>
              <w:tc>
                <w:tcPr>
                  <w:tcW w:w="1524" w:type="dxa"/>
                  <w:noWrap w:val="0"/>
                  <w:vAlign w:val="top"/>
                </w:tcPr>
                <w:p>
                  <w:pPr>
                    <w:spacing w:line="360" w:lineRule="auto"/>
                    <w:ind w:firstLine="0" w:firstLineChars="0"/>
                    <w:jc w:val="center"/>
                    <w:rPr>
                      <w:rFonts w:hint="default" w:ascii="Times New Roman" w:hAnsi="Times New Roman" w:cs="Times New Roman"/>
                    </w:rPr>
                  </w:pPr>
                  <w:r>
                    <w:rPr>
                      <w:rFonts w:hint="default" w:ascii="Times New Roman" w:hAnsi="Times New Roman" w:cs="Times New Roman"/>
                      <w:lang w:eastAsia="zh-CN"/>
                    </w:rPr>
                    <w:t>渗透机</w:t>
                  </w:r>
                </w:p>
              </w:tc>
              <w:tc>
                <w:tcPr>
                  <w:tcW w:w="542" w:type="dxa"/>
                  <w:noWrap w:val="0"/>
                  <w:vAlign w:val="top"/>
                </w:tcPr>
                <w:p>
                  <w:pPr>
                    <w:pStyle w:val="87"/>
                    <w:spacing w:line="360" w:lineRule="auto"/>
                    <w:ind w:firstLine="0" w:firstLineChars="0"/>
                    <w:jc w:val="center"/>
                    <w:rPr>
                      <w:rFonts w:hint="default" w:ascii="Times New Roman" w:hAnsi="Times New Roman" w:cs="Times New Roman"/>
                      <w:kern w:val="0"/>
                      <w:szCs w:val="21"/>
                      <w:highlight w:val="none"/>
                      <w:lang w:val="en-US" w:eastAsia="zh-CN"/>
                    </w:rPr>
                  </w:pPr>
                  <w:r>
                    <w:rPr>
                      <w:rFonts w:hint="default" w:ascii="Times New Roman" w:hAnsi="Times New Roman" w:cs="Times New Roman"/>
                      <w:kern w:val="0"/>
                      <w:szCs w:val="21"/>
                      <w:highlight w:val="none"/>
                      <w:lang w:val="en-US" w:eastAsia="zh-CN"/>
                    </w:rPr>
                    <w:t>1</w:t>
                  </w:r>
                </w:p>
              </w:tc>
              <w:tc>
                <w:tcPr>
                  <w:tcW w:w="766" w:type="dxa"/>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台</w:t>
                  </w:r>
                </w:p>
              </w:tc>
              <w:tc>
                <w:tcPr>
                  <w:tcW w:w="1234" w:type="dxa"/>
                  <w:noWrap w:val="0"/>
                  <w:vAlign w:val="center"/>
                </w:tcPr>
                <w:p>
                  <w:pPr>
                    <w:spacing w:line="30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75</w:t>
                  </w:r>
                </w:p>
              </w:tc>
              <w:tc>
                <w:tcPr>
                  <w:tcW w:w="2839" w:type="dxa"/>
                  <w:vMerge w:val="continue"/>
                  <w:noWrap w:val="0"/>
                  <w:vAlign w:val="center"/>
                </w:tcPr>
                <w:p>
                  <w:pPr>
                    <w:tabs>
                      <w:tab w:val="left" w:pos="1200"/>
                    </w:tabs>
                    <w:spacing w:line="300" w:lineRule="exact"/>
                    <w:jc w:val="center"/>
                    <w:rPr>
                      <w:rFonts w:hint="default" w:ascii="Times New Roman" w:hAnsi="Times New Roman" w:cs="Times New Roman"/>
                      <w:spacing w:val="-6"/>
                      <w:szCs w:val="21"/>
                    </w:rPr>
                  </w:pPr>
                </w:p>
              </w:tc>
              <w:tc>
                <w:tcPr>
                  <w:tcW w:w="1509" w:type="dxa"/>
                  <w:vMerge w:val="continue"/>
                  <w:noWrap w:val="0"/>
                  <w:vAlign w:val="center"/>
                </w:tcPr>
                <w:p>
                  <w:pPr>
                    <w:tabs>
                      <w:tab w:val="left" w:pos="1200"/>
                    </w:tabs>
                    <w:spacing w:line="300" w:lineRule="exact"/>
                    <w:jc w:val="center"/>
                    <w:rPr>
                      <w:rFonts w:hint="default" w:ascii="Times New Roman" w:hAnsi="Times New Roman" w:cs="Times New Roman"/>
                    </w:rPr>
                  </w:pPr>
                </w:p>
              </w:tc>
            </w:tr>
          </w:tbl>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根据建设项目声源特性，结合《环境影响评价技术导则--声环境》（HJ/2.4-2009）选用预测模式，应用过程中将根据具体情况作必要简化。</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（1）点源噪声衰减模式</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center"/>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Lp =L</w:t>
            </w:r>
            <w:r>
              <w:rPr>
                <w:rFonts w:hint="default" w:ascii="Times New Roman" w:hAnsi="Times New Roman" w:cs="Times New Roman"/>
                <w:b w:val="0"/>
                <w:bCs/>
                <w:color w:val="auto"/>
                <w:sz w:val="24"/>
                <w:szCs w:val="24"/>
                <w:highlight w:val="none"/>
                <w:shd w:val="clear" w:color="auto" w:fill="auto"/>
                <w:vertAlign w:val="subscript"/>
                <w:lang w:val="en-US" w:eastAsia="zh-CN"/>
              </w:rPr>
              <w:t>r0</w:t>
            </w:r>
            <w:r>
              <w:rPr>
                <w:rFonts w:hint="default" w:ascii="Times New Roman" w:hAnsi="Times New Roman" w:cs="Times New Roman"/>
                <w:b w:val="0"/>
                <w:bCs/>
                <w:color w:val="auto"/>
                <w:sz w:val="24"/>
                <w:szCs w:val="24"/>
                <w:highlight w:val="none"/>
                <w:shd w:val="clear" w:color="auto" w:fill="auto"/>
                <w:lang w:val="en-US" w:eastAsia="zh-CN"/>
              </w:rPr>
              <w:t xml:space="preserve"> -20lgr/ro</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式中：L</w:t>
            </w:r>
            <w:r>
              <w:rPr>
                <w:rFonts w:hint="default" w:ascii="Times New Roman" w:hAnsi="Times New Roman" w:cs="Times New Roman"/>
                <w:b w:val="0"/>
                <w:bCs/>
                <w:color w:val="auto"/>
                <w:sz w:val="24"/>
                <w:szCs w:val="24"/>
                <w:highlight w:val="none"/>
                <w:shd w:val="clear" w:color="auto" w:fill="auto"/>
                <w:vertAlign w:val="subscript"/>
                <w:lang w:val="en-US" w:eastAsia="zh-CN"/>
              </w:rPr>
              <w:t>p</w:t>
            </w:r>
            <w:r>
              <w:rPr>
                <w:rFonts w:hint="default" w:ascii="Times New Roman" w:hAnsi="Times New Roman" w:cs="Times New Roman"/>
                <w:b w:val="0"/>
                <w:bCs/>
                <w:color w:val="auto"/>
                <w:sz w:val="24"/>
                <w:szCs w:val="24"/>
                <w:highlight w:val="none"/>
                <w:shd w:val="clear" w:color="auto" w:fill="auto"/>
                <w:lang w:val="en-US" w:eastAsia="zh-CN"/>
              </w:rPr>
              <w:t>－受声点所接受的声压级，dB(A)；</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L</w:t>
            </w:r>
            <w:r>
              <w:rPr>
                <w:rFonts w:hint="default" w:ascii="Times New Roman" w:hAnsi="Times New Roman" w:cs="Times New Roman"/>
                <w:b w:val="0"/>
                <w:bCs/>
                <w:color w:val="auto"/>
                <w:sz w:val="24"/>
                <w:szCs w:val="24"/>
                <w:highlight w:val="none"/>
                <w:shd w:val="clear" w:color="auto" w:fill="auto"/>
                <w:vertAlign w:val="subscript"/>
                <w:lang w:val="en-US" w:eastAsia="zh-CN"/>
              </w:rPr>
              <w:t xml:space="preserve"> r0</w:t>
            </w:r>
            <w:r>
              <w:rPr>
                <w:rFonts w:hint="default" w:ascii="Times New Roman" w:hAnsi="Times New Roman" w:cs="Times New Roman"/>
                <w:b w:val="0"/>
                <w:bCs/>
                <w:color w:val="auto"/>
                <w:sz w:val="24"/>
                <w:szCs w:val="24"/>
                <w:highlight w:val="none"/>
                <w:shd w:val="clear" w:color="auto" w:fill="auto"/>
                <w:lang w:val="en-US" w:eastAsia="zh-CN"/>
              </w:rPr>
              <w:t>－噪声源的平均声功率级，dB(A)；</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r－声源至受声点的距离，m；</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r</w:t>
            </w:r>
            <w:r>
              <w:rPr>
                <w:rFonts w:hint="default" w:ascii="Times New Roman" w:hAnsi="Times New Roman" w:cs="Times New Roman"/>
                <w:b w:val="0"/>
                <w:bCs/>
                <w:color w:val="auto"/>
                <w:sz w:val="24"/>
                <w:szCs w:val="24"/>
                <w:highlight w:val="none"/>
                <w:shd w:val="clear" w:color="auto" w:fill="auto"/>
                <w:vertAlign w:val="subscript"/>
                <w:lang w:val="en-US" w:eastAsia="zh-CN"/>
              </w:rPr>
              <w:t>o</w:t>
            </w:r>
            <w:r>
              <w:rPr>
                <w:rFonts w:hint="default" w:ascii="Times New Roman" w:hAnsi="Times New Roman" w:cs="Times New Roman"/>
                <w:b w:val="0"/>
                <w:bCs/>
                <w:color w:val="auto"/>
                <w:sz w:val="24"/>
                <w:szCs w:val="24"/>
                <w:highlight w:val="none"/>
                <w:shd w:val="clear" w:color="auto" w:fill="auto"/>
                <w:lang w:val="en-US" w:eastAsia="zh-CN"/>
              </w:rPr>
              <w:t>－参考位置的距离，取1m；</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（2）点源噪声叠加公式</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center"/>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L</w:t>
            </w:r>
            <w:r>
              <w:rPr>
                <w:rFonts w:hint="default" w:ascii="Times New Roman" w:hAnsi="Times New Roman" w:cs="Times New Roman"/>
                <w:b w:val="0"/>
                <w:bCs/>
                <w:color w:val="auto"/>
                <w:sz w:val="24"/>
                <w:szCs w:val="24"/>
                <w:highlight w:val="none"/>
                <w:shd w:val="clear" w:color="auto" w:fill="auto"/>
                <w:vertAlign w:val="subscript"/>
                <w:lang w:val="en-US" w:eastAsia="zh-CN"/>
              </w:rPr>
              <w:t>总</w:t>
            </w:r>
            <w:r>
              <w:rPr>
                <w:rFonts w:hint="default" w:ascii="Times New Roman" w:hAnsi="Times New Roman" w:cs="Times New Roman"/>
                <w:b w:val="0"/>
                <w:bCs/>
                <w:color w:val="auto"/>
                <w:sz w:val="24"/>
                <w:szCs w:val="24"/>
                <w:highlight w:val="none"/>
                <w:shd w:val="clear" w:color="auto" w:fill="auto"/>
                <w:lang w:val="en-US" w:eastAsia="zh-CN"/>
              </w:rPr>
              <w:t xml:space="preserve"> =10lg（</w:t>
            </w:r>
            <w:r>
              <w:rPr>
                <w:rFonts w:hint="default" w:ascii="Times New Roman" w:hAnsi="Times New Roman" w:cs="Times New Roman"/>
                <w:b w:val="0"/>
                <w:bCs/>
                <w:color w:val="auto"/>
                <w:position w:val="-16"/>
                <w:sz w:val="24"/>
                <w:szCs w:val="24"/>
                <w:highlight w:val="none"/>
                <w:shd w:val="clear" w:color="auto" w:fill="auto"/>
                <w:lang w:val="en-US" w:eastAsia="zh-CN"/>
              </w:rPr>
              <w:object>
                <v:shape id="_x0000_i1057" o:spt="75" type="#_x0000_t75" style="height:23pt;width:31.95pt;" o:ole="t" filled="f" o:preferrelative="t" stroked="f" coordsize="21600,21600">
                  <v:path/>
                  <v:fill on="f" focussize="0,0"/>
                  <v:stroke on="f"/>
                  <v:imagedata r:id="rId16" o:title=""/>
                  <o:lock v:ext="edit" aspectratio="t"/>
                  <w10:wrap type="none"/>
                  <w10:anchorlock/>
                </v:shape>
                <o:OLEObject Type="Embed" ProgID="Equation.KSEE3" ShapeID="_x0000_i1057" DrawAspect="Content" ObjectID="_1468075727" r:id="rId15">
                  <o:LockedField>false</o:LockedField>
                </o:OLEObject>
              </w:object>
            </w:r>
            <w:r>
              <w:rPr>
                <w:rFonts w:hint="default" w:ascii="Times New Roman" w:hAnsi="Times New Roman" w:cs="Times New Roman"/>
                <w:b w:val="0"/>
                <w:bCs/>
                <w:color w:val="auto"/>
                <w:sz w:val="24"/>
                <w:szCs w:val="24"/>
                <w:highlight w:val="none"/>
                <w:shd w:val="clear" w:color="auto" w:fill="auto"/>
                <w:lang w:val="en-US" w:eastAsia="zh-CN"/>
              </w:rPr>
              <w:t>10</w:t>
            </w:r>
            <w:r>
              <w:rPr>
                <w:rFonts w:hint="default" w:ascii="Times New Roman" w:hAnsi="Times New Roman" w:cs="Times New Roman"/>
                <w:b w:val="0"/>
                <w:bCs/>
                <w:color w:val="auto"/>
                <w:sz w:val="24"/>
                <w:szCs w:val="24"/>
                <w:highlight w:val="none"/>
                <w:shd w:val="clear" w:color="auto" w:fill="auto"/>
                <w:vertAlign w:val="superscript"/>
                <w:lang w:val="en-US" w:eastAsia="zh-CN"/>
              </w:rPr>
              <w:t>Li/10</w:t>
            </w:r>
            <w:r>
              <w:rPr>
                <w:rFonts w:hint="default" w:ascii="Times New Roman" w:hAnsi="Times New Roman" w:cs="Times New Roman"/>
                <w:b w:val="0"/>
                <w:bCs/>
                <w:color w:val="auto"/>
                <w:sz w:val="24"/>
                <w:szCs w:val="24"/>
                <w:highlight w:val="none"/>
                <w:shd w:val="clear" w:color="auto" w:fill="auto"/>
                <w:lang w:val="en-US"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式中：L</w:t>
            </w:r>
            <w:r>
              <w:rPr>
                <w:rFonts w:hint="default" w:ascii="Times New Roman" w:hAnsi="Times New Roman" w:cs="Times New Roman"/>
                <w:b w:val="0"/>
                <w:bCs/>
                <w:color w:val="auto"/>
                <w:sz w:val="24"/>
                <w:szCs w:val="24"/>
                <w:highlight w:val="none"/>
                <w:shd w:val="clear" w:color="auto" w:fill="auto"/>
                <w:vertAlign w:val="subscript"/>
                <w:lang w:val="en-US" w:eastAsia="zh-CN"/>
              </w:rPr>
              <w:t>总</w:t>
            </w:r>
            <w:r>
              <w:rPr>
                <w:rFonts w:hint="default" w:ascii="Times New Roman" w:hAnsi="Times New Roman" w:cs="Times New Roman"/>
                <w:b w:val="0"/>
                <w:bCs/>
                <w:color w:val="auto"/>
                <w:sz w:val="24"/>
                <w:szCs w:val="24"/>
                <w:highlight w:val="none"/>
                <w:shd w:val="clear" w:color="auto" w:fill="auto"/>
                <w:lang w:val="en-US" w:eastAsia="zh-CN"/>
              </w:rPr>
              <w:t>—几个声压级相加后的总声压级，dB；</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firstLine="720" w:firstLineChars="3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L</w:t>
            </w:r>
            <w:r>
              <w:rPr>
                <w:rFonts w:hint="default" w:ascii="Times New Roman" w:hAnsi="Times New Roman" w:cs="Times New Roman"/>
                <w:b w:val="0"/>
                <w:bCs/>
                <w:color w:val="auto"/>
                <w:sz w:val="24"/>
                <w:szCs w:val="24"/>
                <w:highlight w:val="none"/>
                <w:shd w:val="clear" w:color="auto" w:fill="auto"/>
                <w:vertAlign w:val="subscript"/>
                <w:lang w:val="en-US" w:eastAsia="zh-CN"/>
              </w:rPr>
              <w:t xml:space="preserve"> i</w:t>
            </w:r>
            <w:r>
              <w:rPr>
                <w:rFonts w:hint="default" w:ascii="Times New Roman" w:hAnsi="Times New Roman" w:cs="Times New Roman"/>
                <w:b w:val="0"/>
                <w:bCs/>
                <w:color w:val="auto"/>
                <w:sz w:val="24"/>
                <w:szCs w:val="24"/>
                <w:highlight w:val="none"/>
                <w:shd w:val="clear" w:color="auto" w:fill="auto"/>
                <w:lang w:val="en-US" w:eastAsia="zh-CN"/>
              </w:rPr>
              <w:t>—某一个声压级，dB。</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lang w:val="en-US" w:eastAsia="zh-CN"/>
              </w:rPr>
            </w:pPr>
            <w:r>
              <w:rPr>
                <w:rFonts w:hint="default" w:ascii="Times New Roman" w:hAnsi="Times New Roman" w:cs="Times New Roman"/>
                <w:b w:val="0"/>
                <w:bCs/>
                <w:color w:val="auto"/>
                <w:sz w:val="24"/>
                <w:szCs w:val="24"/>
                <w:highlight w:val="none"/>
                <w:shd w:val="clear" w:color="auto" w:fill="auto"/>
                <w:lang w:val="en-US" w:eastAsia="zh-CN"/>
              </w:rPr>
              <w:t>（3）预测结果及分析</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hint="default" w:ascii="Times New Roman" w:hAnsi="Times New Roman" w:cs="Times New Roman"/>
                <w:b w:val="0"/>
                <w:bCs/>
                <w:color w:val="auto"/>
                <w:sz w:val="24"/>
                <w:szCs w:val="24"/>
                <w:highlight w:val="none"/>
                <w:shd w:val="clear" w:color="auto" w:fill="auto"/>
                <w:vertAlign w:val="baseline"/>
                <w:lang w:val="en-US" w:eastAsia="zh-CN"/>
              </w:rPr>
            </w:pPr>
            <w:r>
              <w:rPr>
                <w:rFonts w:hint="default" w:ascii="Times New Roman" w:hAnsi="Times New Roman" w:cs="Times New Roman"/>
                <w:b w:val="0"/>
                <w:bCs/>
                <w:color w:val="auto"/>
                <w:sz w:val="24"/>
                <w:szCs w:val="24"/>
                <w:highlight w:val="none"/>
                <w:shd w:val="clear" w:color="auto" w:fill="auto"/>
                <w:lang w:val="en-US" w:eastAsia="zh-CN"/>
              </w:rPr>
              <w:t>本项目噪声预测结果见下表所示。</w:t>
            </w:r>
          </w:p>
          <w:p>
            <w:pPr>
              <w:spacing w:line="480" w:lineRule="exact"/>
              <w:jc w:val="center"/>
              <w:rPr>
                <w:rFonts w:hint="default" w:ascii="Times New Roman" w:hAnsi="Times New Roman" w:cs="Times New Roman"/>
                <w:b/>
                <w:bCs/>
                <w:color w:val="auto"/>
                <w:sz w:val="24"/>
                <w:highlight w:val="none"/>
                <w:shd w:val="clear" w:color="auto" w:fill="auto"/>
              </w:rPr>
            </w:pPr>
            <w:r>
              <w:rPr>
                <w:rFonts w:hint="default" w:ascii="Times New Roman" w:hAnsi="Times New Roman" w:cs="Times New Roman"/>
                <w:b/>
                <w:bCs/>
                <w:color w:val="auto"/>
                <w:sz w:val="24"/>
                <w:highlight w:val="none"/>
                <w:shd w:val="clear" w:color="auto" w:fill="auto"/>
              </w:rPr>
              <w:t>表</w:t>
            </w:r>
            <w:r>
              <w:rPr>
                <w:rFonts w:hint="default" w:ascii="Times New Roman" w:hAnsi="Times New Roman" w:cs="Times New Roman"/>
                <w:b/>
                <w:bCs/>
                <w:color w:val="auto"/>
                <w:sz w:val="24"/>
                <w:highlight w:val="none"/>
                <w:shd w:val="clear" w:color="auto" w:fill="auto"/>
                <w:lang w:val="en-US" w:eastAsia="zh-CN"/>
              </w:rPr>
              <w:t>2</w:t>
            </w:r>
            <w:r>
              <w:rPr>
                <w:rFonts w:hint="eastAsia" w:ascii="Times New Roman" w:hAnsi="Times New Roman" w:cs="Times New Roman"/>
                <w:b/>
                <w:bCs/>
                <w:color w:val="auto"/>
                <w:sz w:val="24"/>
                <w:highlight w:val="none"/>
                <w:shd w:val="clear" w:color="auto" w:fill="auto"/>
                <w:lang w:val="en-US" w:eastAsia="zh-CN"/>
              </w:rPr>
              <w:t>3</w:t>
            </w:r>
            <w:r>
              <w:rPr>
                <w:rFonts w:hint="default" w:ascii="Times New Roman" w:hAnsi="Times New Roman" w:cs="Times New Roman"/>
                <w:b/>
                <w:bCs/>
                <w:color w:val="auto"/>
                <w:sz w:val="24"/>
                <w:highlight w:val="none"/>
                <w:shd w:val="clear" w:color="auto" w:fill="auto"/>
              </w:rPr>
              <w:t xml:space="preserve">   噪声源距各厂界距离一览表    单位：m</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40"/>
              <w:gridCol w:w="1655"/>
              <w:gridCol w:w="1796"/>
              <w:gridCol w:w="1798"/>
              <w:gridCol w:w="1797"/>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exact"/>
                <w:jc w:val="center"/>
              </w:trPr>
              <w:tc>
                <w:tcPr>
                  <w:tcW w:w="1940" w:type="dxa"/>
                  <w:tcBorders>
                    <w:tl2br w:val="nil"/>
                    <w:tr2bl w:val="nil"/>
                  </w:tcBorders>
                  <w:noWrap w:val="0"/>
                  <w:vAlign w:val="center"/>
                </w:tcPr>
                <w:p>
                  <w:pPr>
                    <w:spacing w:line="300" w:lineRule="exact"/>
                    <w:jc w:val="center"/>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污染源</w:t>
                  </w:r>
                </w:p>
              </w:tc>
              <w:tc>
                <w:tcPr>
                  <w:tcW w:w="1655"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eastAsia="zh-CN"/>
                    </w:rPr>
                    <w:t>西</w:t>
                  </w:r>
                  <w:r>
                    <w:rPr>
                      <w:rFonts w:hint="default" w:ascii="Times New Roman" w:hAnsi="Times New Roman" w:cs="Times New Roman"/>
                      <w:color w:val="auto"/>
                      <w:highlight w:val="none"/>
                      <w:shd w:val="clear" w:color="auto" w:fill="auto"/>
                    </w:rPr>
                    <w:t>厂界</w:t>
                  </w:r>
                </w:p>
              </w:tc>
              <w:tc>
                <w:tcPr>
                  <w:tcW w:w="1796"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南厂界</w:t>
                  </w:r>
                </w:p>
              </w:tc>
              <w:tc>
                <w:tcPr>
                  <w:tcW w:w="1798"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eastAsia="zh-CN"/>
                    </w:rPr>
                    <w:t>东</w:t>
                  </w:r>
                  <w:r>
                    <w:rPr>
                      <w:rFonts w:hint="default" w:ascii="Times New Roman" w:hAnsi="Times New Roman" w:cs="Times New Roman"/>
                      <w:color w:val="auto"/>
                      <w:highlight w:val="none"/>
                      <w:shd w:val="clear" w:color="auto" w:fill="auto"/>
                    </w:rPr>
                    <w:t>厂界</w:t>
                  </w:r>
                </w:p>
              </w:tc>
              <w:tc>
                <w:tcPr>
                  <w:tcW w:w="1797"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北厂界</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exact"/>
                <w:jc w:val="center"/>
              </w:trPr>
              <w:tc>
                <w:tcPr>
                  <w:tcW w:w="1940" w:type="dxa"/>
                  <w:tcBorders>
                    <w:tl2br w:val="nil"/>
                    <w:tr2bl w:val="nil"/>
                  </w:tcBorders>
                  <w:noWrap w:val="0"/>
                  <w:vAlign w:val="center"/>
                </w:tcPr>
                <w:p>
                  <w:pPr>
                    <w:spacing w:line="380" w:lineRule="exact"/>
                    <w:jc w:val="center"/>
                    <w:rPr>
                      <w:rFonts w:hint="default" w:ascii="Times New Roman" w:hAnsi="Times New Roman" w:eastAsia="宋体" w:cs="Times New Roman"/>
                      <w:color w:val="auto"/>
                      <w:highlight w:val="none"/>
                      <w:shd w:val="clear" w:color="auto" w:fill="auto"/>
                      <w:lang w:eastAsia="zh-CN"/>
                    </w:rPr>
                  </w:pPr>
                  <w:r>
                    <w:rPr>
                      <w:rFonts w:hint="default" w:ascii="Times New Roman" w:hAnsi="Times New Roman" w:cs="Times New Roman"/>
                      <w:color w:val="auto"/>
                      <w:highlight w:val="none"/>
                      <w:shd w:val="clear" w:color="auto" w:fill="auto"/>
                      <w:lang w:eastAsia="zh-CN"/>
                    </w:rPr>
                    <w:t>生产车间</w:t>
                  </w:r>
                </w:p>
              </w:tc>
              <w:tc>
                <w:tcPr>
                  <w:tcW w:w="1655" w:type="dxa"/>
                  <w:tcBorders>
                    <w:tl2br w:val="nil"/>
                    <w:tr2bl w:val="nil"/>
                  </w:tcBorders>
                  <w:noWrap w:val="0"/>
                  <w:vAlign w:val="center"/>
                </w:tcPr>
                <w:p>
                  <w:pPr>
                    <w:spacing w:line="380" w:lineRule="exact"/>
                    <w:jc w:val="center"/>
                    <w:rPr>
                      <w:rFonts w:hint="default" w:ascii="Times New Roman" w:hAnsi="Times New Roman" w:eastAsia="宋体" w:cs="Times New Roman"/>
                      <w:color w:val="auto"/>
                      <w:highlight w:val="none"/>
                      <w:shd w:val="clear" w:color="auto" w:fill="auto"/>
                      <w:lang w:eastAsia="zh-CN"/>
                    </w:rPr>
                  </w:pPr>
                  <w:r>
                    <w:rPr>
                      <w:rFonts w:hint="default" w:ascii="Times New Roman" w:hAnsi="Times New Roman" w:cs="Times New Roman"/>
                      <w:color w:val="auto"/>
                      <w:highlight w:val="none"/>
                      <w:shd w:val="clear" w:color="auto" w:fill="auto"/>
                      <w:lang w:val="en-US" w:eastAsia="zh-CN"/>
                    </w:rPr>
                    <w:t>8</w:t>
                  </w:r>
                </w:p>
              </w:tc>
              <w:tc>
                <w:tcPr>
                  <w:tcW w:w="1796" w:type="dxa"/>
                  <w:tcBorders>
                    <w:tl2br w:val="nil"/>
                    <w:tr2bl w:val="nil"/>
                  </w:tcBorders>
                  <w:noWrap w:val="0"/>
                  <w:vAlign w:val="center"/>
                </w:tcPr>
                <w:p>
                  <w:pPr>
                    <w:spacing w:line="380" w:lineRule="exact"/>
                    <w:ind w:left="-42" w:leftChars="-20"/>
                    <w:jc w:val="center"/>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15</w:t>
                  </w:r>
                </w:p>
              </w:tc>
              <w:tc>
                <w:tcPr>
                  <w:tcW w:w="1798" w:type="dxa"/>
                  <w:tcBorders>
                    <w:tl2br w:val="nil"/>
                    <w:tr2bl w:val="nil"/>
                  </w:tcBorders>
                  <w:noWrap w:val="0"/>
                  <w:vAlign w:val="center"/>
                </w:tcPr>
                <w:p>
                  <w:pPr>
                    <w:spacing w:line="380" w:lineRule="exact"/>
                    <w:ind w:left="-42" w:leftChars="-20"/>
                    <w:jc w:val="center"/>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0</w:t>
                  </w:r>
                </w:p>
              </w:tc>
              <w:tc>
                <w:tcPr>
                  <w:tcW w:w="1797" w:type="dxa"/>
                  <w:tcBorders>
                    <w:tl2br w:val="nil"/>
                    <w:tr2bl w:val="nil"/>
                  </w:tcBorders>
                  <w:noWrap w:val="0"/>
                  <w:vAlign w:val="center"/>
                </w:tcPr>
                <w:p>
                  <w:pPr>
                    <w:spacing w:line="380" w:lineRule="exact"/>
                    <w:ind w:left="-42" w:leftChars="-20"/>
                    <w:jc w:val="center"/>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eastAsia="宋体" w:cs="Times New Roman"/>
                      <w:color w:val="auto"/>
                      <w:highlight w:val="none"/>
                      <w:shd w:val="clear" w:color="auto" w:fill="auto"/>
                      <w:lang w:val="en-US" w:eastAsia="zh-CN"/>
                    </w:rPr>
                    <w:t>0</w:t>
                  </w:r>
                </w:p>
              </w:tc>
            </w:tr>
          </w:tbl>
          <w:p>
            <w:pPr>
              <w:spacing w:line="480" w:lineRule="exact"/>
              <w:jc w:val="center"/>
              <w:rPr>
                <w:rFonts w:hint="default" w:ascii="Times New Roman" w:hAnsi="Times New Roman" w:cs="Times New Roman"/>
                <w:b/>
                <w:bCs/>
                <w:color w:val="auto"/>
                <w:sz w:val="24"/>
                <w:highlight w:val="none"/>
                <w:shd w:val="clear" w:color="auto" w:fill="auto"/>
              </w:rPr>
            </w:pPr>
            <w:r>
              <w:rPr>
                <w:rFonts w:hint="default" w:ascii="Times New Roman" w:hAnsi="Times New Roman" w:cs="Times New Roman"/>
                <w:b/>
                <w:bCs/>
                <w:color w:val="auto"/>
                <w:sz w:val="24"/>
                <w:highlight w:val="none"/>
                <w:shd w:val="clear" w:color="auto" w:fill="auto"/>
              </w:rPr>
              <w:t>表</w:t>
            </w:r>
            <w:r>
              <w:rPr>
                <w:rFonts w:hint="default" w:ascii="Times New Roman" w:hAnsi="Times New Roman" w:cs="Times New Roman"/>
                <w:b/>
                <w:bCs/>
                <w:color w:val="auto"/>
                <w:sz w:val="24"/>
                <w:highlight w:val="none"/>
                <w:shd w:val="clear" w:color="auto" w:fill="auto"/>
                <w:lang w:val="en-US" w:eastAsia="zh-CN"/>
              </w:rPr>
              <w:t>2</w:t>
            </w:r>
            <w:r>
              <w:rPr>
                <w:rFonts w:hint="eastAsia" w:ascii="Times New Roman" w:hAnsi="Times New Roman" w:cs="Times New Roman"/>
                <w:b/>
                <w:bCs/>
                <w:color w:val="auto"/>
                <w:sz w:val="24"/>
                <w:highlight w:val="none"/>
                <w:shd w:val="clear" w:color="auto" w:fill="auto"/>
                <w:lang w:val="en-US" w:eastAsia="zh-CN"/>
              </w:rPr>
              <w:t>4</w:t>
            </w:r>
            <w:r>
              <w:rPr>
                <w:rFonts w:hint="default" w:ascii="Times New Roman" w:hAnsi="Times New Roman" w:cs="Times New Roman"/>
                <w:b/>
                <w:bCs/>
                <w:color w:val="auto"/>
                <w:sz w:val="24"/>
                <w:highlight w:val="none"/>
                <w:shd w:val="clear" w:color="auto" w:fill="auto"/>
              </w:rPr>
              <w:t xml:space="preserve">   噪声预测结果一览表    单位：dB(A)</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31"/>
              <w:gridCol w:w="3019"/>
              <w:gridCol w:w="1284"/>
              <w:gridCol w:w="1283"/>
              <w:gridCol w:w="1286"/>
              <w:gridCol w:w="128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31" w:type="dxa"/>
                  <w:vMerge w:val="restart"/>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序号</w:t>
                  </w:r>
                </w:p>
              </w:tc>
              <w:tc>
                <w:tcPr>
                  <w:tcW w:w="3019" w:type="dxa"/>
                  <w:vMerge w:val="restart"/>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污染源</w:t>
                  </w:r>
                </w:p>
              </w:tc>
              <w:tc>
                <w:tcPr>
                  <w:tcW w:w="5136" w:type="dxa"/>
                  <w:gridSpan w:val="4"/>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厂界噪声贡献值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31" w:type="dxa"/>
                  <w:vMerge w:val="continue"/>
                  <w:tcBorders>
                    <w:tl2br w:val="nil"/>
                    <w:tr2bl w:val="nil"/>
                  </w:tcBorders>
                  <w:noWrap w:val="0"/>
                  <w:vAlign w:val="center"/>
                </w:tcPr>
                <w:p>
                  <w:pPr>
                    <w:widowControl w:val="0"/>
                    <w:spacing w:line="300" w:lineRule="exact"/>
                    <w:jc w:val="center"/>
                    <w:rPr>
                      <w:rFonts w:hint="default" w:ascii="Times New Roman" w:hAnsi="Times New Roman" w:cs="Times New Roman"/>
                      <w:color w:val="auto"/>
                      <w:highlight w:val="none"/>
                      <w:shd w:val="clear" w:color="auto" w:fill="auto"/>
                    </w:rPr>
                  </w:pPr>
                </w:p>
              </w:tc>
              <w:tc>
                <w:tcPr>
                  <w:tcW w:w="3019" w:type="dxa"/>
                  <w:vMerge w:val="continue"/>
                  <w:tcBorders>
                    <w:tl2br w:val="nil"/>
                    <w:tr2bl w:val="nil"/>
                  </w:tcBorders>
                  <w:noWrap w:val="0"/>
                  <w:vAlign w:val="center"/>
                </w:tcPr>
                <w:p>
                  <w:pPr>
                    <w:widowControl w:val="0"/>
                    <w:spacing w:line="300" w:lineRule="exact"/>
                    <w:jc w:val="center"/>
                    <w:rPr>
                      <w:rFonts w:hint="default" w:ascii="Times New Roman" w:hAnsi="Times New Roman" w:cs="Times New Roman"/>
                      <w:color w:val="auto"/>
                      <w:highlight w:val="none"/>
                      <w:shd w:val="clear" w:color="auto" w:fill="auto"/>
                    </w:rPr>
                  </w:pPr>
                </w:p>
              </w:tc>
              <w:tc>
                <w:tcPr>
                  <w:tcW w:w="1284"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eastAsia="zh-CN"/>
                    </w:rPr>
                    <w:t>西</w:t>
                  </w:r>
                  <w:r>
                    <w:rPr>
                      <w:rFonts w:hint="default" w:ascii="Times New Roman" w:hAnsi="Times New Roman" w:cs="Times New Roman"/>
                      <w:color w:val="auto"/>
                      <w:highlight w:val="none"/>
                      <w:shd w:val="clear" w:color="auto" w:fill="auto"/>
                    </w:rPr>
                    <w:t>厂界</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南厂界</w:t>
                  </w:r>
                </w:p>
              </w:tc>
              <w:tc>
                <w:tcPr>
                  <w:tcW w:w="1286"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eastAsia="zh-CN"/>
                    </w:rPr>
                    <w:t>东</w:t>
                  </w:r>
                  <w:r>
                    <w:rPr>
                      <w:rFonts w:hint="default" w:ascii="Times New Roman" w:hAnsi="Times New Roman" w:cs="Times New Roman"/>
                      <w:color w:val="auto"/>
                      <w:highlight w:val="none"/>
                      <w:shd w:val="clear" w:color="auto" w:fill="auto"/>
                    </w:rPr>
                    <w:t>厂界</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北厂界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31"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1</w:t>
                  </w:r>
                </w:p>
              </w:tc>
              <w:tc>
                <w:tcPr>
                  <w:tcW w:w="3019"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厂房</w:t>
                  </w:r>
                </w:p>
              </w:tc>
              <w:tc>
                <w:tcPr>
                  <w:tcW w:w="1284"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40.77</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35.31</w:t>
                  </w:r>
                </w:p>
              </w:tc>
              <w:tc>
                <w:tcPr>
                  <w:tcW w:w="1286"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58.83</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eastAsia="宋体"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58.83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31"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2</w:t>
                  </w:r>
                </w:p>
              </w:tc>
              <w:tc>
                <w:tcPr>
                  <w:tcW w:w="3019"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标准值（昼间）</w:t>
                  </w:r>
                </w:p>
              </w:tc>
              <w:tc>
                <w:tcPr>
                  <w:tcW w:w="1284"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val="en-US" w:eastAsia="zh-CN"/>
                    </w:rPr>
                    <w:t>7</w:t>
                  </w:r>
                  <w:r>
                    <w:rPr>
                      <w:rFonts w:hint="default" w:ascii="Times New Roman" w:hAnsi="Times New Roman" w:cs="Times New Roman"/>
                      <w:color w:val="auto"/>
                      <w:highlight w:val="none"/>
                      <w:shd w:val="clear" w:color="auto" w:fill="auto"/>
                    </w:rPr>
                    <w:t>0</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lang w:val="en-US" w:eastAsia="zh-CN"/>
                    </w:rPr>
                    <w:t>6</w:t>
                  </w:r>
                  <w:r>
                    <w:rPr>
                      <w:rFonts w:hint="default" w:ascii="Times New Roman" w:hAnsi="Times New Roman" w:cs="Times New Roman"/>
                      <w:color w:val="auto"/>
                      <w:highlight w:val="none"/>
                      <w:shd w:val="clear" w:color="auto" w:fill="auto"/>
                    </w:rPr>
                    <w:t>0</w:t>
                  </w:r>
                </w:p>
              </w:tc>
              <w:tc>
                <w:tcPr>
                  <w:tcW w:w="1286"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60</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31"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3</w:t>
                  </w:r>
                </w:p>
              </w:tc>
              <w:tc>
                <w:tcPr>
                  <w:tcW w:w="3019"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达标情况</w:t>
                  </w:r>
                </w:p>
              </w:tc>
              <w:tc>
                <w:tcPr>
                  <w:tcW w:w="1284"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达标</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达标</w:t>
                  </w:r>
                </w:p>
              </w:tc>
              <w:tc>
                <w:tcPr>
                  <w:tcW w:w="1286"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达标</w:t>
                  </w:r>
                </w:p>
              </w:tc>
              <w:tc>
                <w:tcPr>
                  <w:tcW w:w="1283" w:type="dxa"/>
                  <w:tcBorders>
                    <w:tl2br w:val="nil"/>
                    <w:tr2bl w:val="nil"/>
                  </w:tcBorders>
                  <w:noWrap w:val="0"/>
                  <w:vAlign w:val="center"/>
                </w:tcPr>
                <w:p>
                  <w:pPr>
                    <w:adjustRightInd/>
                    <w:snapToGrid/>
                    <w:spacing w:line="300" w:lineRule="exact"/>
                    <w:jc w:val="center"/>
                    <w:textAlignment w:val="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达标</w:t>
                  </w:r>
                </w:p>
              </w:tc>
            </w:tr>
          </w:tbl>
          <w:p>
            <w:pPr>
              <w:spacing w:line="480" w:lineRule="exact"/>
              <w:ind w:firstLine="470" w:firstLineChars="196"/>
              <w:rPr>
                <w:rFonts w:hint="default" w:ascii="Times New Roman" w:hAnsi="Times New Roman" w:cs="Times New Roman"/>
                <w:b/>
                <w:spacing w:val="20"/>
                <w:sz w:val="24"/>
              </w:rPr>
            </w:pPr>
            <w:r>
              <w:rPr>
                <w:rFonts w:hint="default" w:ascii="Times New Roman" w:hAnsi="Times New Roman" w:cs="Times New Roman"/>
                <w:sz w:val="24"/>
              </w:rPr>
              <w:t>由表</w:t>
            </w:r>
            <w:r>
              <w:rPr>
                <w:rFonts w:hint="default" w:ascii="Times New Roman" w:hAnsi="Times New Roman" w:cs="Times New Roman"/>
                <w:sz w:val="24"/>
                <w:lang w:val="en-US" w:eastAsia="zh-CN"/>
              </w:rPr>
              <w:t>24</w:t>
            </w:r>
            <w:r>
              <w:rPr>
                <w:rFonts w:hint="default" w:ascii="Times New Roman" w:hAnsi="Times New Roman" w:cs="Times New Roman"/>
                <w:sz w:val="24"/>
              </w:rPr>
              <w:t>分析可知，本项目各厂界噪声贡献值为35.31～58.83(A)，各厂界满足《工业企业厂界环境噪声排放标准》(GBl2348—2008) 2类</w:t>
            </w:r>
            <w:r>
              <w:rPr>
                <w:rFonts w:hint="default" w:ascii="Times New Roman" w:hAnsi="Times New Roman" w:cs="Times New Roman"/>
                <w:sz w:val="24"/>
                <w:lang w:eastAsia="zh-CN"/>
              </w:rPr>
              <w:t>和</w:t>
            </w:r>
            <w:r>
              <w:rPr>
                <w:rFonts w:hint="default" w:ascii="Times New Roman" w:hAnsi="Times New Roman" w:cs="Times New Roman"/>
                <w:sz w:val="24"/>
                <w:lang w:val="en-US" w:eastAsia="zh-CN"/>
              </w:rPr>
              <w:t>4类</w:t>
            </w:r>
            <w:r>
              <w:rPr>
                <w:rFonts w:hint="default" w:ascii="Times New Roman" w:hAnsi="Times New Roman" w:cs="Times New Roman"/>
                <w:sz w:val="24"/>
              </w:rPr>
              <w:t>区昼夜间标准限值要求</w:t>
            </w:r>
            <w:r>
              <w:rPr>
                <w:rFonts w:hint="default" w:ascii="Times New Roman" w:hAnsi="Times New Roman" w:cs="Times New Roman"/>
                <w:sz w:val="24"/>
                <w:lang w:eastAsia="zh-CN"/>
              </w:rPr>
              <w:t>，</w:t>
            </w:r>
            <w:r>
              <w:rPr>
                <w:rFonts w:hint="default" w:ascii="Times New Roman" w:hAnsi="Times New Roman" w:cs="Times New Roman"/>
                <w:sz w:val="24"/>
              </w:rPr>
              <w:t>对周围环境影响较小。</w:t>
            </w:r>
          </w:p>
          <w:p>
            <w:pPr>
              <w:keepNext w:val="0"/>
              <w:keepLines w:val="0"/>
              <w:pageBreakBefore w:val="0"/>
              <w:kinsoku/>
              <w:wordWrap/>
              <w:overflowPunct/>
              <w:topLinePunct w:val="0"/>
              <w:autoSpaceDE/>
              <w:autoSpaceDN/>
              <w:bidi w:val="0"/>
              <w:spacing w:line="360" w:lineRule="auto"/>
              <w:ind w:firstLine="482" w:firstLineChars="200"/>
              <w:contextualSpacing/>
              <w:textAlignment w:val="auto"/>
              <w:outlineLvl w:val="9"/>
              <w:rPr>
                <w:rFonts w:hint="default" w:ascii="Times New Roman" w:hAnsi="Times New Roman" w:cs="Times New Roman"/>
                <w:b/>
                <w:bCs/>
                <w:sz w:val="24"/>
                <w:highlight w:val="none"/>
              </w:rPr>
            </w:pPr>
            <w:r>
              <w:rPr>
                <w:rFonts w:hint="default" w:ascii="Times New Roman" w:hAnsi="Times New Roman" w:cs="Times New Roman"/>
                <w:b/>
                <w:bCs/>
                <w:sz w:val="24"/>
                <w:highlight w:val="none"/>
              </w:rPr>
              <w:t>4、固体废物影响分析</w:t>
            </w:r>
          </w:p>
          <w:p>
            <w:pPr>
              <w:spacing w:line="480" w:lineRule="exact"/>
              <w:ind w:firstLine="470" w:firstLineChars="196"/>
              <w:rPr>
                <w:rFonts w:hint="default" w:ascii="Times New Roman" w:hAnsi="Times New Roman" w:cs="Times New Roman"/>
                <w:sz w:val="24"/>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1）</w:t>
            </w:r>
            <w:r>
              <w:rPr>
                <w:rFonts w:hint="default" w:ascii="Times New Roman" w:hAnsi="Times New Roman" w:cs="Times New Roman"/>
                <w:sz w:val="24"/>
              </w:rPr>
              <w:t>一般固废</w:t>
            </w:r>
          </w:p>
          <w:p>
            <w:pPr>
              <w:spacing w:line="480" w:lineRule="exact"/>
              <w:ind w:firstLine="480" w:firstLineChars="200"/>
              <w:rPr>
                <w:rFonts w:hint="default" w:ascii="Times New Roman" w:hAnsi="Times New Roman" w:eastAsia="宋体" w:cs="Times New Roman"/>
                <w:kern w:val="0"/>
                <w:sz w:val="24"/>
                <w:lang w:val="zh-CN" w:eastAsia="zh-CN"/>
              </w:rPr>
            </w:pPr>
            <w:r>
              <w:rPr>
                <w:rFonts w:hint="default" w:ascii="Times New Roman" w:hAnsi="Times New Roman" w:cs="Times New Roman"/>
                <w:sz w:val="24"/>
              </w:rPr>
              <w:t>项目一般固废主要是</w:t>
            </w:r>
            <w:r>
              <w:rPr>
                <w:rFonts w:hint="default" w:ascii="Times New Roman" w:hAnsi="Times New Roman" w:cs="Times New Roman"/>
                <w:sz w:val="24"/>
                <w:lang w:eastAsia="zh-CN"/>
              </w:rPr>
              <w:t>切割工序</w:t>
            </w:r>
            <w:r>
              <w:rPr>
                <w:rFonts w:hint="default" w:ascii="Times New Roman" w:hAnsi="Times New Roman" w:cs="Times New Roman"/>
                <w:sz w:val="24"/>
              </w:rPr>
              <w:t>产生的</w:t>
            </w:r>
            <w:r>
              <w:rPr>
                <w:rFonts w:hint="default" w:ascii="Times New Roman" w:hAnsi="Times New Roman" w:cs="Times New Roman"/>
                <w:sz w:val="24"/>
                <w:lang w:eastAsia="zh-CN"/>
              </w:rPr>
              <w:t>废边角料，项目废边角料产生量为</w:t>
            </w:r>
            <w:r>
              <w:rPr>
                <w:rFonts w:hint="default" w:ascii="Times New Roman" w:hAnsi="Times New Roman" w:cs="Times New Roman"/>
                <w:sz w:val="24"/>
                <w:lang w:val="en-US" w:eastAsia="zh-CN"/>
              </w:rPr>
              <w:t>2</w:t>
            </w:r>
            <w:r>
              <w:rPr>
                <w:rFonts w:hint="default" w:ascii="Times New Roman" w:hAnsi="Times New Roman" w:cs="Times New Roman"/>
                <w:sz w:val="24"/>
              </w:rPr>
              <w:t>t/a</w:t>
            </w:r>
            <w:r>
              <w:rPr>
                <w:rFonts w:hint="default" w:ascii="Times New Roman" w:hAnsi="Times New Roman" w:cs="Times New Roman"/>
                <w:sz w:val="24"/>
                <w:lang w:eastAsia="zh-CN"/>
              </w:rPr>
              <w:t>，集中收集后外售。</w:t>
            </w:r>
          </w:p>
          <w:p>
            <w:pPr>
              <w:spacing w:line="480" w:lineRule="exact"/>
              <w:ind w:firstLine="480" w:firstLineChars="200"/>
              <w:rPr>
                <w:rFonts w:hint="default" w:ascii="Times New Roman" w:hAnsi="Times New Roman" w:cs="Times New Roman"/>
                <w:kern w:val="0"/>
                <w:sz w:val="24"/>
                <w:lang w:val="zh-CN"/>
              </w:rPr>
            </w:pPr>
            <w:r>
              <w:rPr>
                <w:rFonts w:hint="default" w:ascii="Times New Roman" w:hAnsi="Times New Roman" w:cs="Times New Roman"/>
                <w:kern w:val="0"/>
                <w:sz w:val="24"/>
                <w:lang w:val="zh-CN"/>
              </w:rPr>
              <w:t>（</w:t>
            </w:r>
            <w:r>
              <w:rPr>
                <w:rFonts w:hint="default" w:ascii="Times New Roman" w:hAnsi="Times New Roman" w:cs="Times New Roman"/>
                <w:kern w:val="0"/>
                <w:sz w:val="24"/>
                <w:lang w:val="en-US" w:eastAsia="zh-CN"/>
              </w:rPr>
              <w:t>2）</w:t>
            </w:r>
            <w:r>
              <w:rPr>
                <w:rFonts w:hint="default" w:ascii="Times New Roman" w:hAnsi="Times New Roman" w:cs="Times New Roman"/>
                <w:kern w:val="0"/>
                <w:sz w:val="24"/>
                <w:lang w:val="zh-CN"/>
              </w:rPr>
              <w:t>危险废物</w:t>
            </w:r>
          </w:p>
          <w:p>
            <w:pPr>
              <w:spacing w:line="480" w:lineRule="exact"/>
              <w:ind w:firstLine="470" w:firstLineChars="196"/>
              <w:rPr>
                <w:rFonts w:hint="default" w:ascii="Times New Roman" w:hAnsi="Times New Roman" w:cs="Times New Roman"/>
                <w:sz w:val="24"/>
              </w:rPr>
            </w:pPr>
            <w:r>
              <w:rPr>
                <w:rFonts w:hint="default" w:ascii="Times New Roman" w:hAnsi="Times New Roman" w:cs="Times New Roman"/>
                <w:kern w:val="24"/>
                <w:sz w:val="24"/>
                <w:lang w:eastAsia="zh-CN"/>
              </w:rPr>
              <w:t>活性炭吸附装置产生废活性炭</w:t>
            </w:r>
            <w:r>
              <w:rPr>
                <w:rFonts w:hint="default" w:ascii="Times New Roman" w:hAnsi="Times New Roman" w:cs="Times New Roman"/>
                <w:kern w:val="24"/>
                <w:sz w:val="24"/>
                <w:lang w:val="en-US" w:eastAsia="zh-CN"/>
              </w:rPr>
              <w:t>1</w:t>
            </w:r>
            <w:r>
              <w:rPr>
                <w:rFonts w:hint="default" w:ascii="Times New Roman" w:hAnsi="Times New Roman" w:cs="Times New Roman"/>
                <w:sz w:val="24"/>
              </w:rPr>
              <w:t>t/a</w:t>
            </w:r>
            <w:r>
              <w:rPr>
                <w:rFonts w:hint="default" w:ascii="Times New Roman" w:hAnsi="Times New Roman" w:cs="Times New Roman"/>
                <w:sz w:val="24"/>
                <w:lang w:eastAsia="zh-CN"/>
              </w:rPr>
              <w:t>，暂存于危废间后交给有资质单位处理</w:t>
            </w:r>
            <w:r>
              <w:rPr>
                <w:rFonts w:hint="default" w:ascii="Times New Roman" w:hAnsi="Times New Roman" w:cs="Times New Roman"/>
                <w:sz w:val="24"/>
              </w:rPr>
              <w:t>。</w:t>
            </w:r>
          </w:p>
          <w:p>
            <w:pPr>
              <w:spacing w:line="480" w:lineRule="exact"/>
              <w:ind w:right="-126" w:rightChars="-60" w:firstLine="496" w:firstLineChars="200"/>
              <w:rPr>
                <w:rFonts w:hint="default" w:ascii="Times New Roman" w:hAnsi="Times New Roman" w:cs="Times New Roman"/>
                <w:spacing w:val="4"/>
                <w:kern w:val="24"/>
                <w:sz w:val="24"/>
              </w:rPr>
            </w:pPr>
            <w:r>
              <w:rPr>
                <w:rFonts w:hint="default" w:ascii="Times New Roman" w:hAnsi="Times New Roman" w:cs="Times New Roman"/>
                <w:spacing w:val="4"/>
                <w:kern w:val="24"/>
                <w:sz w:val="24"/>
              </w:rPr>
              <w:t>根据《国家危险废物名录》（2016年），</w:t>
            </w:r>
            <w:r>
              <w:rPr>
                <w:rFonts w:hint="default" w:ascii="Times New Roman" w:hAnsi="Times New Roman" w:cs="Times New Roman"/>
                <w:spacing w:val="4"/>
                <w:kern w:val="24"/>
                <w:sz w:val="24"/>
                <w:lang w:eastAsia="zh-CN"/>
              </w:rPr>
              <w:t>废活性炭</w:t>
            </w:r>
            <w:r>
              <w:rPr>
                <w:rFonts w:hint="default" w:ascii="Times New Roman" w:hAnsi="Times New Roman" w:cs="Times New Roman"/>
                <w:spacing w:val="4"/>
                <w:kern w:val="24"/>
                <w:sz w:val="24"/>
              </w:rPr>
              <w:t>属于HW</w:t>
            </w:r>
            <w:r>
              <w:rPr>
                <w:rFonts w:hint="default" w:ascii="Times New Roman" w:hAnsi="Times New Roman" w:cs="Times New Roman"/>
                <w:spacing w:val="4"/>
                <w:kern w:val="24"/>
                <w:sz w:val="24"/>
                <w:lang w:val="en-US" w:eastAsia="zh-CN"/>
              </w:rPr>
              <w:t>49</w:t>
            </w:r>
            <w:r>
              <w:rPr>
                <w:rFonts w:hint="default" w:ascii="Times New Roman" w:hAnsi="Times New Roman" w:eastAsia="宋体" w:cs="Times New Roman"/>
                <w:kern w:val="0"/>
                <w:sz w:val="24"/>
                <w:szCs w:val="24"/>
                <w:lang w:val="en-US" w:eastAsia="zh-CN"/>
              </w:rPr>
              <w:t>（900-039-49）</w:t>
            </w:r>
            <w:r>
              <w:rPr>
                <w:rFonts w:hint="default" w:ascii="Times New Roman" w:hAnsi="Times New Roman" w:cs="Times New Roman"/>
                <w:spacing w:val="4"/>
                <w:kern w:val="24"/>
                <w:sz w:val="24"/>
              </w:rPr>
              <w:t>。环评要求更换下来的</w:t>
            </w:r>
            <w:r>
              <w:rPr>
                <w:rFonts w:hint="default" w:ascii="Times New Roman" w:hAnsi="Times New Roman" w:cs="Times New Roman"/>
                <w:spacing w:val="4"/>
                <w:kern w:val="24"/>
                <w:sz w:val="24"/>
                <w:lang w:eastAsia="zh-CN"/>
              </w:rPr>
              <w:t>废活性炭</w:t>
            </w:r>
            <w:r>
              <w:rPr>
                <w:rFonts w:hint="default" w:ascii="Times New Roman" w:hAnsi="Times New Roman" w:cs="Times New Roman"/>
                <w:spacing w:val="4"/>
                <w:kern w:val="24"/>
                <w:sz w:val="24"/>
              </w:rPr>
              <w:t>采用专用容器贮存（容器内必须留足够空间，容器顶部与液体表面之间保留100mm以上的空间），暂存在危废储存间，之后交由有资质单位统一处理。</w:t>
            </w:r>
          </w:p>
          <w:p>
            <w:pPr>
              <w:adjustRightInd w:val="0"/>
              <w:snapToGrid w:val="0"/>
              <w:spacing w:line="480" w:lineRule="exact"/>
              <w:ind w:firstLine="496" w:firstLineChars="200"/>
              <w:rPr>
                <w:rFonts w:hint="default" w:ascii="Times New Roman" w:hAnsi="Times New Roman" w:cs="Times New Roman"/>
                <w:spacing w:val="4"/>
                <w:kern w:val="24"/>
                <w:sz w:val="24"/>
              </w:rPr>
            </w:pPr>
            <w:r>
              <w:rPr>
                <w:rFonts w:hint="default" w:ascii="Times New Roman" w:hAnsi="Times New Roman" w:cs="Times New Roman"/>
                <w:spacing w:val="4"/>
                <w:kern w:val="24"/>
                <w:sz w:val="24"/>
              </w:rPr>
              <w:t>上述危险废物其储存、转移和处理途径需遵守《危险废物贮存污染控制标准》（GB18597-2001）的相关规定，要求如下：</w:t>
            </w:r>
          </w:p>
          <w:p>
            <w:pPr>
              <w:spacing w:line="480" w:lineRule="exact"/>
              <w:ind w:firstLine="472" w:firstLineChars="197"/>
              <w:rPr>
                <w:rFonts w:hint="default" w:ascii="Times New Roman" w:hAnsi="Times New Roman" w:cs="Times New Roman"/>
                <w:kern w:val="24"/>
                <w:sz w:val="24"/>
              </w:rPr>
            </w:pPr>
            <w:r>
              <w:rPr>
                <w:rFonts w:hint="default" w:ascii="Times New Roman" w:hAnsi="Times New Roman" w:cs="Times New Roman"/>
                <w:kern w:val="24"/>
                <w:sz w:val="24"/>
              </w:rPr>
              <w:t>①危险废物的储存</w:t>
            </w:r>
          </w:p>
          <w:p>
            <w:pPr>
              <w:spacing w:line="480" w:lineRule="exact"/>
              <w:ind w:firstLine="480" w:firstLineChars="200"/>
              <w:rPr>
                <w:rFonts w:hint="default" w:ascii="Times New Roman" w:hAnsi="Times New Roman" w:cs="Times New Roman"/>
                <w:kern w:val="24"/>
                <w:sz w:val="24"/>
              </w:rPr>
            </w:pPr>
            <w:r>
              <w:rPr>
                <w:rFonts w:hint="default" w:ascii="Times New Roman" w:hAnsi="Times New Roman" w:cs="Times New Roman"/>
                <w:kern w:val="24"/>
                <w:sz w:val="24"/>
              </w:rPr>
              <w:t xml:space="preserve">ⅰ </w:t>
            </w:r>
            <w:r>
              <w:rPr>
                <w:rFonts w:hint="default" w:ascii="Times New Roman" w:hAnsi="Times New Roman" w:cs="Times New Roman"/>
                <w:sz w:val="24"/>
              </w:rPr>
              <w:t>应按照固体废物的性质进行分类收集和暂存。</w:t>
            </w:r>
            <w:r>
              <w:rPr>
                <w:rFonts w:hint="default" w:ascii="Times New Roman" w:hAnsi="Times New Roman" w:cs="Times New Roman"/>
                <w:kern w:val="24"/>
                <w:sz w:val="24"/>
              </w:rPr>
              <w:t>设置专门的危险废物储存设施进行储存，并设立危险废物标志，储存期限不得超过国家规定。</w:t>
            </w:r>
          </w:p>
          <w:p>
            <w:pPr>
              <w:spacing w:line="480" w:lineRule="exact"/>
              <w:ind w:firstLine="464" w:firstLineChars="200"/>
              <w:rPr>
                <w:rFonts w:hint="default" w:ascii="Times New Roman" w:hAnsi="Times New Roman" w:cs="Times New Roman"/>
                <w:kern w:val="24"/>
                <w:sz w:val="24"/>
              </w:rPr>
            </w:pPr>
            <w:r>
              <w:rPr>
                <w:rFonts w:hint="default" w:ascii="Times New Roman" w:hAnsi="Times New Roman" w:cs="Times New Roman"/>
                <w:spacing w:val="-4"/>
                <w:kern w:val="24"/>
                <w:sz w:val="24"/>
              </w:rPr>
              <w:t>ⅱ 装运危险废物的容器应根据危险废物的不同特性而设计，容器应不易破损、变形、老化，并能有效地防止渗透、扩散。装有危险废物的容器必须贴有标签</w:t>
            </w:r>
            <w:r>
              <w:rPr>
                <w:rFonts w:hint="default" w:ascii="Times New Roman" w:hAnsi="Times New Roman" w:cs="Times New Roman"/>
                <w:kern w:val="24"/>
                <w:sz w:val="24"/>
              </w:rPr>
              <w:t>。</w:t>
            </w:r>
          </w:p>
          <w:p>
            <w:pPr>
              <w:spacing w:line="480" w:lineRule="exact"/>
              <w:ind w:firstLine="454" w:firstLineChars="196"/>
              <w:rPr>
                <w:rFonts w:hint="default" w:ascii="Times New Roman" w:hAnsi="Times New Roman" w:cs="Times New Roman"/>
                <w:sz w:val="24"/>
              </w:rPr>
            </w:pPr>
            <w:r>
              <w:rPr>
                <w:rFonts w:hint="default" w:ascii="Times New Roman" w:hAnsi="Times New Roman" w:cs="Times New Roman"/>
                <w:spacing w:val="-4"/>
                <w:kern w:val="24"/>
                <w:sz w:val="24"/>
              </w:rPr>
              <w:t>ⅲ</w:t>
            </w:r>
            <w:r>
              <w:rPr>
                <w:rFonts w:hint="default" w:ascii="Times New Roman" w:hAnsi="Times New Roman" w:cs="Times New Roman"/>
                <w:color w:val="FF0000"/>
                <w:spacing w:val="-4"/>
                <w:kern w:val="24"/>
                <w:sz w:val="24"/>
              </w:rPr>
              <w:t xml:space="preserve"> </w:t>
            </w:r>
            <w:r>
              <w:rPr>
                <w:rFonts w:hint="default" w:ascii="Times New Roman" w:hAnsi="Times New Roman" w:cs="Times New Roman"/>
                <w:spacing w:val="-4"/>
                <w:kern w:val="24"/>
                <w:sz w:val="24"/>
              </w:rPr>
              <w:t>危废</w:t>
            </w:r>
            <w:r>
              <w:rPr>
                <w:rFonts w:hint="default" w:ascii="Times New Roman" w:hAnsi="Times New Roman" w:cs="Times New Roman"/>
                <w:bCs/>
                <w:sz w:val="24"/>
              </w:rPr>
              <w:t>存储间</w:t>
            </w:r>
            <w:r>
              <w:rPr>
                <w:rFonts w:hint="default" w:ascii="Times New Roman" w:hAnsi="Times New Roman" w:cs="Times New Roman"/>
                <w:bCs/>
                <w:sz w:val="24"/>
                <w:lang w:val="en-US" w:eastAsia="zh-CN"/>
              </w:rPr>
              <w:t>5</w:t>
            </w:r>
            <w:r>
              <w:rPr>
                <w:rFonts w:hint="default" w:ascii="Times New Roman" w:hAnsi="Times New Roman" w:cs="Times New Roman"/>
                <w:bCs/>
                <w:sz w:val="24"/>
                <w:highlight w:val="none"/>
              </w:rPr>
              <w:t>m</w:t>
            </w:r>
            <w:r>
              <w:rPr>
                <w:rFonts w:hint="default" w:ascii="Times New Roman" w:hAnsi="Times New Roman" w:cs="Times New Roman"/>
                <w:bCs/>
                <w:sz w:val="24"/>
                <w:highlight w:val="none"/>
                <w:vertAlign w:val="superscript"/>
              </w:rPr>
              <w:t>2</w:t>
            </w:r>
            <w:r>
              <w:rPr>
                <w:rFonts w:hint="default" w:ascii="Times New Roman" w:hAnsi="Times New Roman" w:cs="Times New Roman"/>
                <w:bCs/>
                <w:sz w:val="24"/>
                <w:highlight w:val="none"/>
              </w:rPr>
              <w:t>，位于</w:t>
            </w:r>
            <w:r>
              <w:rPr>
                <w:rFonts w:hint="default" w:ascii="Times New Roman" w:hAnsi="Times New Roman" w:cs="Times New Roman"/>
                <w:bCs/>
                <w:sz w:val="24"/>
                <w:highlight w:val="none"/>
                <w:lang w:eastAsia="zh-CN"/>
              </w:rPr>
              <w:t>库房东侧</w:t>
            </w:r>
            <w:r>
              <w:rPr>
                <w:rFonts w:hint="default" w:ascii="Times New Roman" w:hAnsi="Times New Roman" w:cs="Times New Roman"/>
                <w:bCs/>
                <w:sz w:val="24"/>
                <w:highlight w:val="none"/>
              </w:rPr>
              <w:t>，</w:t>
            </w:r>
            <w:r>
              <w:rPr>
                <w:rFonts w:hint="default" w:ascii="Times New Roman" w:hAnsi="Times New Roman" w:cs="Times New Roman"/>
                <w:sz w:val="24"/>
                <w:highlight w:val="none"/>
              </w:rPr>
              <w:t>最</w:t>
            </w:r>
            <w:r>
              <w:rPr>
                <w:rFonts w:hint="default" w:ascii="Times New Roman" w:hAnsi="Times New Roman" w:cs="Times New Roman"/>
                <w:sz w:val="24"/>
              </w:rPr>
              <w:t>大储存量为</w:t>
            </w:r>
            <w:r>
              <w:rPr>
                <w:rFonts w:hint="default" w:ascii="Times New Roman" w:hAnsi="Times New Roman" w:cs="Times New Roman"/>
                <w:sz w:val="24"/>
                <w:lang w:val="en-US" w:eastAsia="zh-CN"/>
              </w:rPr>
              <w:t>1</w:t>
            </w:r>
            <w:r>
              <w:rPr>
                <w:rFonts w:hint="default" w:ascii="Times New Roman" w:hAnsi="Times New Roman" w:cs="Times New Roman"/>
                <w:sz w:val="24"/>
              </w:rPr>
              <w:t>t（项目危险废物产生量为0.5t/a，可满足储存要求），</w:t>
            </w:r>
            <w:r>
              <w:rPr>
                <w:rFonts w:hint="default" w:ascii="Times New Roman" w:hAnsi="Times New Roman" w:cs="Times New Roman"/>
                <w:bCs/>
                <w:sz w:val="24"/>
              </w:rPr>
              <w:t>彩钢结构；</w:t>
            </w:r>
            <w:r>
              <w:rPr>
                <w:rFonts w:hint="default" w:ascii="Times New Roman" w:hAnsi="Times New Roman" w:cs="Times New Roman"/>
                <w:kern w:val="24"/>
                <w:sz w:val="24"/>
              </w:rPr>
              <w:t>并设立危险废物标识，将</w:t>
            </w:r>
            <w:r>
              <w:rPr>
                <w:rFonts w:hint="default" w:ascii="Times New Roman" w:hAnsi="Times New Roman" w:cs="Times New Roman"/>
                <w:sz w:val="24"/>
                <w:lang w:eastAsia="zh-CN"/>
              </w:rPr>
              <w:t>废活性炭</w:t>
            </w:r>
            <w:r>
              <w:rPr>
                <w:rFonts w:hint="default" w:ascii="Times New Roman" w:hAnsi="Times New Roman" w:cs="Times New Roman"/>
                <w:sz w:val="24"/>
              </w:rPr>
              <w:t>用耐腐蚀容器收集，必须</w:t>
            </w:r>
            <w:r>
              <w:rPr>
                <w:rFonts w:hint="default" w:ascii="Times New Roman" w:hAnsi="Times New Roman" w:cs="Times New Roman"/>
                <w:spacing w:val="-4"/>
                <w:kern w:val="24"/>
                <w:sz w:val="24"/>
              </w:rPr>
              <w:t>贴有危废标签，存储危险废物的车间地面做防渗处理，底层采用10cm防渗混凝土，表层2mm厚高密度聚乙烯</w:t>
            </w:r>
            <w:r>
              <w:rPr>
                <w:rFonts w:hint="default" w:ascii="Times New Roman" w:hAnsi="Times New Roman" w:cs="Times New Roman"/>
                <w:sz w:val="24"/>
              </w:rPr>
              <w:t>或其他人工材料的防渗层</w:t>
            </w:r>
            <w:r>
              <w:rPr>
                <w:rFonts w:hint="default" w:ascii="Times New Roman" w:hAnsi="Times New Roman" w:cs="Times New Roman"/>
                <w:spacing w:val="-4"/>
                <w:kern w:val="24"/>
                <w:sz w:val="24"/>
              </w:rPr>
              <w:t>，以保证</w:t>
            </w:r>
            <w:r>
              <w:rPr>
                <w:rFonts w:hint="default" w:ascii="Times New Roman" w:hAnsi="Times New Roman" w:cs="Times New Roman"/>
                <w:sz w:val="24"/>
              </w:rPr>
              <w:t>渗透系数≤10</w:t>
            </w:r>
            <w:r>
              <w:rPr>
                <w:rFonts w:hint="default" w:ascii="Times New Roman" w:hAnsi="Times New Roman" w:cs="Times New Roman"/>
                <w:sz w:val="24"/>
                <w:vertAlign w:val="superscript"/>
              </w:rPr>
              <w:t>-10</w:t>
            </w:r>
            <w:r>
              <w:rPr>
                <w:rFonts w:hint="default" w:ascii="Times New Roman" w:hAnsi="Times New Roman" w:cs="Times New Roman"/>
                <w:sz w:val="24"/>
              </w:rPr>
              <w:t>cm/s。</w:t>
            </w:r>
          </w:p>
          <w:p>
            <w:pPr>
              <w:adjustRightInd w:val="0"/>
              <w:snapToGrid w:val="0"/>
              <w:spacing w:line="480" w:lineRule="exact"/>
              <w:ind w:firstLine="480" w:firstLineChars="200"/>
              <w:rPr>
                <w:rFonts w:hint="default" w:ascii="Times New Roman" w:hAnsi="Times New Roman" w:cs="Times New Roman"/>
                <w:kern w:val="24"/>
                <w:sz w:val="24"/>
              </w:rPr>
            </w:pPr>
            <w:r>
              <w:rPr>
                <w:rFonts w:hint="default" w:ascii="Times New Roman" w:hAnsi="Times New Roman" w:cs="Times New Roman"/>
                <w:kern w:val="24"/>
                <w:sz w:val="24"/>
              </w:rPr>
              <w:t>②危险废物收集后全部送有资质的单位处理。</w:t>
            </w:r>
          </w:p>
          <w:p>
            <w:pPr>
              <w:autoSpaceDE w:val="0"/>
              <w:autoSpaceDN w:val="0"/>
              <w:adjustRightInd w:val="0"/>
              <w:spacing w:line="480" w:lineRule="exact"/>
              <w:ind w:firstLine="470" w:firstLineChars="196"/>
              <w:rPr>
                <w:rFonts w:hint="default" w:ascii="Times New Roman" w:hAnsi="Times New Roman" w:cs="Times New Roman"/>
                <w:sz w:val="24"/>
              </w:rPr>
            </w:pPr>
            <w:r>
              <w:rPr>
                <w:rFonts w:hint="default" w:ascii="Times New Roman" w:hAnsi="Times New Roman" w:cs="Times New Roman"/>
                <w:sz w:val="24"/>
              </w:rPr>
              <w:t>对于这部分危险固废，企业不能随意处理，也不能乱堆乱放，必须密闭转移，及时清运，在生产过程中要注意对这些废物的收集和储运。必须切实做好固废的分类工作，定期由有资质单位回收处理。</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根据《建设项目危险废物环境影响评价指南》，本项目危险废物汇总表见表</w:t>
            </w:r>
            <w:r>
              <w:rPr>
                <w:rFonts w:hint="default" w:ascii="Times New Roman" w:hAnsi="Times New Roman" w:cs="Times New Roman"/>
                <w:sz w:val="24"/>
                <w:lang w:val="en-US" w:eastAsia="zh-CN"/>
              </w:rPr>
              <w:t>2</w:t>
            </w:r>
            <w:r>
              <w:rPr>
                <w:rFonts w:hint="eastAsia" w:ascii="Times New Roman" w:hAnsi="Times New Roman" w:cs="Times New Roman"/>
                <w:sz w:val="24"/>
                <w:lang w:val="en-US" w:eastAsia="zh-CN"/>
              </w:rPr>
              <w:t>5</w:t>
            </w:r>
            <w:r>
              <w:rPr>
                <w:rFonts w:hint="default" w:ascii="Times New Roman" w:hAnsi="Times New Roman" w:cs="Times New Roman"/>
                <w:sz w:val="24"/>
              </w:rPr>
              <w:t>，危险废物贮存场所</w:t>
            </w:r>
            <w:r>
              <w:rPr>
                <w:rFonts w:hint="default" w:ascii="Times New Roman" w:hAnsi="Times New Roman" w:cs="Times New Roman"/>
                <w:sz w:val="24"/>
                <w:lang w:eastAsia="zh-CN"/>
              </w:rPr>
              <w:t>（</w:t>
            </w:r>
            <w:r>
              <w:rPr>
                <w:rFonts w:hint="default" w:ascii="Times New Roman" w:hAnsi="Times New Roman" w:cs="Times New Roman"/>
                <w:sz w:val="24"/>
              </w:rPr>
              <w:t>设施</w:t>
            </w:r>
            <w:r>
              <w:rPr>
                <w:rFonts w:hint="default" w:ascii="Times New Roman" w:hAnsi="Times New Roman" w:cs="Times New Roman"/>
                <w:sz w:val="24"/>
                <w:lang w:eastAsia="zh-CN"/>
              </w:rPr>
              <w:t>）</w:t>
            </w:r>
            <w:r>
              <w:rPr>
                <w:rFonts w:hint="default" w:ascii="Times New Roman" w:hAnsi="Times New Roman" w:cs="Times New Roman"/>
                <w:sz w:val="24"/>
              </w:rPr>
              <w:t>基本情况见表</w:t>
            </w:r>
            <w:r>
              <w:rPr>
                <w:rFonts w:hint="default" w:ascii="Times New Roman" w:hAnsi="Times New Roman" w:cs="Times New Roman"/>
                <w:sz w:val="24"/>
                <w:lang w:val="en-US" w:eastAsia="zh-CN"/>
              </w:rPr>
              <w:t>2</w:t>
            </w:r>
            <w:r>
              <w:rPr>
                <w:rFonts w:hint="eastAsia" w:ascii="Times New Roman" w:hAnsi="Times New Roman" w:cs="Times New Roman"/>
                <w:sz w:val="24"/>
                <w:lang w:val="en-US" w:eastAsia="zh-CN"/>
              </w:rPr>
              <w:t>6</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20" w:lineRule="exact"/>
              <w:ind w:firstLine="2891" w:firstLineChars="1200"/>
              <w:textAlignment w:val="auto"/>
              <w:rPr>
                <w:rFonts w:hint="default"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420" w:lineRule="exact"/>
              <w:ind w:firstLine="2891" w:firstLineChars="1200"/>
              <w:textAlignment w:val="auto"/>
              <w:rPr>
                <w:rFonts w:hint="default"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420" w:lineRule="exact"/>
              <w:ind w:firstLine="2891" w:firstLineChars="1200"/>
              <w:textAlignment w:val="auto"/>
              <w:rPr>
                <w:rFonts w:hint="default" w:ascii="Times New Roman" w:hAnsi="Times New Roman" w:cs="Times New Roman"/>
              </w:rPr>
            </w:pPr>
            <w:r>
              <w:rPr>
                <w:rFonts w:hint="default" w:ascii="Times New Roman" w:hAnsi="Times New Roman" w:cs="Times New Roman"/>
                <w:b/>
                <w:bCs/>
                <w:sz w:val="24"/>
              </w:rPr>
              <w:t>表</w:t>
            </w:r>
            <w:r>
              <w:rPr>
                <w:rFonts w:hint="default" w:ascii="Times New Roman" w:hAnsi="Times New Roman" w:cs="Times New Roman"/>
                <w:b/>
                <w:bCs/>
                <w:sz w:val="24"/>
                <w:lang w:val="en-US" w:eastAsia="zh-CN"/>
              </w:rPr>
              <w:t>2</w:t>
            </w:r>
            <w:r>
              <w:rPr>
                <w:rFonts w:hint="eastAsia" w:ascii="Times New Roman" w:hAnsi="Times New Roman" w:cs="Times New Roman"/>
                <w:b/>
                <w:bCs/>
                <w:sz w:val="24"/>
                <w:lang w:val="en-US" w:eastAsia="zh-CN"/>
              </w:rPr>
              <w:t>5</w:t>
            </w:r>
            <w:r>
              <w:rPr>
                <w:rFonts w:hint="default" w:ascii="Times New Roman" w:hAnsi="Times New Roman" w:cs="Times New Roman"/>
                <w:b/>
                <w:bCs/>
                <w:sz w:val="24"/>
              </w:rPr>
              <w:t xml:space="preserve">     项目</w:t>
            </w:r>
            <w:r>
              <w:rPr>
                <w:rFonts w:hint="default" w:ascii="Times New Roman" w:hAnsi="Times New Roman" w:cs="Times New Roman"/>
                <w:b/>
                <w:snapToGrid w:val="0"/>
                <w:kern w:val="0"/>
                <w:sz w:val="24"/>
              </w:rPr>
              <w:t>危险废物汇总表</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60"/>
              <w:gridCol w:w="840"/>
              <w:gridCol w:w="812"/>
              <w:gridCol w:w="767"/>
              <w:gridCol w:w="587"/>
              <w:gridCol w:w="751"/>
              <w:gridCol w:w="670"/>
              <w:gridCol w:w="668"/>
              <w:gridCol w:w="668"/>
              <w:gridCol w:w="2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42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序号</w:t>
                  </w:r>
                </w:p>
              </w:tc>
              <w:tc>
                <w:tcPr>
                  <w:tcW w:w="760"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危险废物名称</w:t>
                  </w:r>
                </w:p>
              </w:tc>
              <w:tc>
                <w:tcPr>
                  <w:tcW w:w="840"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废物</w:t>
                  </w:r>
                </w:p>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类别</w:t>
                  </w:r>
                </w:p>
              </w:tc>
              <w:tc>
                <w:tcPr>
                  <w:tcW w:w="812"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产生量（吨/年）</w:t>
                  </w:r>
                </w:p>
              </w:tc>
              <w:tc>
                <w:tcPr>
                  <w:tcW w:w="767"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产生工序及装置</w:t>
                  </w:r>
                </w:p>
              </w:tc>
              <w:tc>
                <w:tcPr>
                  <w:tcW w:w="587"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形态</w:t>
                  </w:r>
                </w:p>
              </w:tc>
              <w:tc>
                <w:tcPr>
                  <w:tcW w:w="75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主要</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成分</w:t>
                  </w:r>
                </w:p>
              </w:tc>
              <w:tc>
                <w:tcPr>
                  <w:tcW w:w="670"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有害成分</w:t>
                  </w:r>
                </w:p>
              </w:tc>
              <w:tc>
                <w:tcPr>
                  <w:tcW w:w="668"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产废周期</w:t>
                  </w:r>
                </w:p>
              </w:tc>
              <w:tc>
                <w:tcPr>
                  <w:tcW w:w="668"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危险特性</w:t>
                  </w:r>
                </w:p>
              </w:tc>
              <w:tc>
                <w:tcPr>
                  <w:tcW w:w="2042"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42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w:t>
                  </w:r>
                </w:p>
              </w:tc>
              <w:tc>
                <w:tcPr>
                  <w:tcW w:w="760"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废活性炭</w:t>
                  </w:r>
                </w:p>
              </w:tc>
              <w:tc>
                <w:tcPr>
                  <w:tcW w:w="840"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HW49其他危险废物</w:t>
                  </w:r>
                </w:p>
              </w:tc>
              <w:tc>
                <w:tcPr>
                  <w:tcW w:w="812"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0.5</w:t>
                  </w:r>
                </w:p>
              </w:tc>
              <w:tc>
                <w:tcPr>
                  <w:tcW w:w="767"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活性炭吸附装置</w:t>
                  </w:r>
                </w:p>
              </w:tc>
              <w:tc>
                <w:tcPr>
                  <w:tcW w:w="587"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固体</w:t>
                  </w:r>
                </w:p>
              </w:tc>
              <w:tc>
                <w:tcPr>
                  <w:tcW w:w="751"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活性炭</w:t>
                  </w:r>
                </w:p>
              </w:tc>
              <w:tc>
                <w:tcPr>
                  <w:tcW w:w="670"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sz w:val="21"/>
                      <w:szCs w:val="21"/>
                      <w:lang w:eastAsia="zh-CN"/>
                    </w:rPr>
                    <w:t>吸附介质及有机废气</w:t>
                  </w:r>
                </w:p>
              </w:tc>
              <w:tc>
                <w:tcPr>
                  <w:tcW w:w="668"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一年</w:t>
                  </w:r>
                </w:p>
              </w:tc>
              <w:tc>
                <w:tcPr>
                  <w:tcW w:w="668"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900-039-49</w:t>
                  </w:r>
                </w:p>
              </w:tc>
              <w:tc>
                <w:tcPr>
                  <w:tcW w:w="2042"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分类收集，采用专用容器储存，</w:t>
                  </w:r>
                  <w:r>
                    <w:rPr>
                      <w:rFonts w:hint="default" w:ascii="Times New Roman" w:hAnsi="Times New Roman" w:cs="Times New Roman"/>
                      <w:sz w:val="21"/>
                      <w:szCs w:val="21"/>
                    </w:rPr>
                    <w:t>存放在危废间内，定期交有资质单位处理</w:t>
                  </w:r>
                </w:p>
              </w:tc>
            </w:tr>
          </w:tbl>
          <w:p>
            <w:pPr>
              <w:keepNext w:val="0"/>
              <w:keepLines w:val="0"/>
              <w:pageBreakBefore w:val="0"/>
              <w:widowControl w:val="0"/>
              <w:kinsoku/>
              <w:wordWrap/>
              <w:overflowPunct/>
              <w:topLinePunct w:val="0"/>
              <w:autoSpaceDE/>
              <w:autoSpaceDN/>
              <w:bidi w:val="0"/>
              <w:adjustRightInd/>
              <w:snapToGrid/>
              <w:spacing w:line="420" w:lineRule="exact"/>
              <w:ind w:firstLine="1928" w:firstLineChars="800"/>
              <w:textAlignment w:val="auto"/>
              <w:rPr>
                <w:rFonts w:hint="default" w:ascii="Times New Roman" w:hAnsi="Times New Roman" w:cs="Times New Roman"/>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26</w:t>
            </w:r>
            <w:r>
              <w:rPr>
                <w:rFonts w:hint="default" w:ascii="Times New Roman" w:hAnsi="Times New Roman" w:cs="Times New Roman"/>
                <w:b/>
                <w:bCs/>
                <w:sz w:val="24"/>
              </w:rPr>
              <w:t xml:space="preserve">   </w:t>
            </w:r>
            <w:r>
              <w:rPr>
                <w:rFonts w:hint="default" w:ascii="Times New Roman" w:hAnsi="Times New Roman" w:cs="Times New Roman"/>
                <w:b/>
                <w:snapToGrid w:val="0"/>
                <w:kern w:val="0"/>
                <w:sz w:val="24"/>
              </w:rPr>
              <w:t>项目危险废物贮存场所（设施）基本情况表</w:t>
            </w:r>
          </w:p>
          <w:tbl>
            <w:tblPr>
              <w:tblStyle w:val="37"/>
              <w:tblW w:w="89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79"/>
              <w:gridCol w:w="1092"/>
              <w:gridCol w:w="1174"/>
              <w:gridCol w:w="915"/>
              <w:gridCol w:w="874"/>
              <w:gridCol w:w="681"/>
              <w:gridCol w:w="1583"/>
              <w:gridCol w:w="631"/>
              <w:gridCol w:w="7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0"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序号</w:t>
                  </w:r>
                </w:p>
              </w:tc>
              <w:tc>
                <w:tcPr>
                  <w:tcW w:w="879"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贮存场所</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（设施）名称</w:t>
                  </w:r>
                </w:p>
              </w:tc>
              <w:tc>
                <w:tcPr>
                  <w:tcW w:w="1092"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危险废物</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名称</w:t>
                  </w:r>
                </w:p>
              </w:tc>
              <w:tc>
                <w:tcPr>
                  <w:tcW w:w="1174"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危险废物</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类别</w:t>
                  </w:r>
                </w:p>
              </w:tc>
              <w:tc>
                <w:tcPr>
                  <w:tcW w:w="915"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危险废物</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代码</w:t>
                  </w:r>
                </w:p>
              </w:tc>
              <w:tc>
                <w:tcPr>
                  <w:tcW w:w="874"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位置</w:t>
                  </w:r>
                </w:p>
              </w:tc>
              <w:tc>
                <w:tcPr>
                  <w:tcW w:w="68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占地</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面积</w:t>
                  </w:r>
                </w:p>
              </w:tc>
              <w:tc>
                <w:tcPr>
                  <w:tcW w:w="1583"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贮存</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方式</w:t>
                  </w:r>
                </w:p>
              </w:tc>
              <w:tc>
                <w:tcPr>
                  <w:tcW w:w="63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贮存</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能力</w:t>
                  </w:r>
                </w:p>
              </w:tc>
              <w:tc>
                <w:tcPr>
                  <w:tcW w:w="737"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贮存</w:t>
                  </w:r>
                </w:p>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420"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w:t>
                  </w:r>
                </w:p>
              </w:tc>
              <w:tc>
                <w:tcPr>
                  <w:tcW w:w="879"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危废间</w:t>
                  </w:r>
                </w:p>
              </w:tc>
              <w:tc>
                <w:tcPr>
                  <w:tcW w:w="1092" w:type="dxa"/>
                  <w:noWrap w:val="0"/>
                  <w:vAlign w:val="center"/>
                </w:tcPr>
                <w:p>
                  <w:pPr>
                    <w:tabs>
                      <w:tab w:val="left" w:pos="360"/>
                    </w:tabs>
                    <w:adjustRightInd w:val="0"/>
                    <w:snapToGrid w:val="0"/>
                    <w:spacing w:line="240" w:lineRule="exact"/>
                    <w:jc w:val="center"/>
                    <w:rPr>
                      <w:rFonts w:hint="default" w:ascii="Times New Roman" w:hAnsi="Times New Roman" w:eastAsia="宋体" w:cs="Times New Roman"/>
                      <w:snapToGrid w:val="0"/>
                      <w:kern w:val="0"/>
                      <w:sz w:val="21"/>
                      <w:szCs w:val="21"/>
                      <w:lang w:eastAsia="zh-CN"/>
                    </w:rPr>
                  </w:pPr>
                  <w:r>
                    <w:rPr>
                      <w:rFonts w:hint="default" w:ascii="Times New Roman" w:hAnsi="Times New Roman" w:cs="Times New Roman"/>
                      <w:snapToGrid w:val="0"/>
                      <w:kern w:val="0"/>
                      <w:sz w:val="21"/>
                      <w:szCs w:val="21"/>
                      <w:lang w:eastAsia="zh-CN"/>
                    </w:rPr>
                    <w:t>废活性炭</w:t>
                  </w:r>
                </w:p>
              </w:tc>
              <w:tc>
                <w:tcPr>
                  <w:tcW w:w="1174"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lang w:val="en-US" w:eastAsia="zh-CN"/>
                    </w:rPr>
                    <w:t>HW49其他危险废物</w:t>
                  </w:r>
                </w:p>
              </w:tc>
              <w:tc>
                <w:tcPr>
                  <w:tcW w:w="915"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900-039-49</w:t>
                  </w:r>
                </w:p>
              </w:tc>
              <w:tc>
                <w:tcPr>
                  <w:tcW w:w="874"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highlight w:val="none"/>
                      <w:lang w:eastAsia="zh-CN"/>
                    </w:rPr>
                    <w:t>库房东侧</w:t>
                  </w:r>
                </w:p>
              </w:tc>
              <w:tc>
                <w:tcPr>
                  <w:tcW w:w="68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lang w:val="en-US" w:eastAsia="zh-CN"/>
                    </w:rPr>
                    <w:t>5</w:t>
                  </w:r>
                  <w:r>
                    <w:rPr>
                      <w:rFonts w:hint="default" w:ascii="Times New Roman" w:hAnsi="Times New Roman" w:cs="Times New Roman"/>
                      <w:snapToGrid w:val="0"/>
                      <w:kern w:val="0"/>
                      <w:sz w:val="21"/>
                      <w:szCs w:val="21"/>
                    </w:rPr>
                    <w:t>m</w:t>
                  </w:r>
                  <w:r>
                    <w:rPr>
                      <w:rFonts w:hint="default" w:ascii="Times New Roman" w:hAnsi="Times New Roman" w:cs="Times New Roman"/>
                      <w:snapToGrid w:val="0"/>
                      <w:kern w:val="0"/>
                      <w:sz w:val="21"/>
                      <w:szCs w:val="21"/>
                      <w:vertAlign w:val="superscript"/>
                    </w:rPr>
                    <w:t>2</w:t>
                  </w:r>
                </w:p>
              </w:tc>
              <w:tc>
                <w:tcPr>
                  <w:tcW w:w="1583"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收集在密闭容器内，存放在危废间</w:t>
                  </w:r>
                </w:p>
              </w:tc>
              <w:tc>
                <w:tcPr>
                  <w:tcW w:w="631"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lang w:val="en-US" w:eastAsia="zh-CN"/>
                    </w:rPr>
                    <w:t>5</w:t>
                  </w:r>
                  <w:r>
                    <w:rPr>
                      <w:rFonts w:hint="default" w:ascii="Times New Roman" w:hAnsi="Times New Roman" w:cs="Times New Roman"/>
                      <w:snapToGrid w:val="0"/>
                      <w:kern w:val="0"/>
                      <w:sz w:val="21"/>
                      <w:szCs w:val="21"/>
                    </w:rPr>
                    <w:t>m</w:t>
                  </w:r>
                  <w:r>
                    <w:rPr>
                      <w:rFonts w:hint="default" w:ascii="Times New Roman" w:hAnsi="Times New Roman" w:cs="Times New Roman"/>
                      <w:snapToGrid w:val="0"/>
                      <w:kern w:val="0"/>
                      <w:sz w:val="21"/>
                      <w:szCs w:val="21"/>
                      <w:vertAlign w:val="superscript"/>
                    </w:rPr>
                    <w:t>2</w:t>
                  </w:r>
                </w:p>
              </w:tc>
              <w:tc>
                <w:tcPr>
                  <w:tcW w:w="737" w:type="dxa"/>
                  <w:noWrap w:val="0"/>
                  <w:vAlign w:val="center"/>
                </w:tcPr>
                <w:p>
                  <w:pPr>
                    <w:tabs>
                      <w:tab w:val="left" w:pos="360"/>
                    </w:tabs>
                    <w:adjustRightInd w:val="0"/>
                    <w:snapToGrid w:val="0"/>
                    <w:spacing w:line="240" w:lineRule="exact"/>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一年</w:t>
                  </w:r>
                </w:p>
              </w:tc>
            </w:tr>
          </w:tbl>
          <w:p>
            <w:pPr>
              <w:autoSpaceDE w:val="0"/>
              <w:autoSpaceDN w:val="0"/>
              <w:adjustRightInd w:val="0"/>
              <w:spacing w:line="480" w:lineRule="exact"/>
              <w:ind w:firstLine="470" w:firstLineChars="196"/>
              <w:rPr>
                <w:rFonts w:hint="default" w:ascii="Times New Roman" w:hAnsi="Times New Roman" w:cs="Times New Roman"/>
                <w:sz w:val="24"/>
              </w:rPr>
            </w:pPr>
            <w:r>
              <w:rPr>
                <w:rFonts w:hint="default" w:ascii="Times New Roman" w:hAnsi="Times New Roman" w:cs="Times New Roman"/>
                <w:bCs/>
                <w:kern w:val="0"/>
                <w:sz w:val="24"/>
              </w:rPr>
              <w:t>项目将危废交由</w:t>
            </w:r>
            <w:r>
              <w:rPr>
                <w:rFonts w:hint="default" w:ascii="Times New Roman" w:hAnsi="Times New Roman" w:cs="Times New Roman"/>
                <w:sz w:val="24"/>
              </w:rPr>
              <w:t>有资质单位处理。</w:t>
            </w:r>
            <w:r>
              <w:rPr>
                <w:rFonts w:hint="default" w:ascii="Times New Roman" w:hAnsi="Times New Roman" w:cs="Times New Roman"/>
                <w:sz w:val="24"/>
                <w:szCs w:val="28"/>
              </w:rPr>
              <w:t>因此，本项目产生的危险废物妥善处置，措施可行。</w:t>
            </w:r>
            <w:r>
              <w:rPr>
                <w:rFonts w:hint="default" w:ascii="Times New Roman" w:hAnsi="Times New Roman" w:cs="Times New Roman"/>
                <w:sz w:val="24"/>
              </w:rPr>
              <w:t>危险废物处理措施和处置方案满足《危险废物贮存污染控制标准》（GB18597-2001）及其修改单的要求。</w:t>
            </w:r>
          </w:p>
          <w:p>
            <w:pPr>
              <w:spacing w:line="480" w:lineRule="exact"/>
              <w:ind w:firstLine="470" w:firstLineChars="196"/>
              <w:rPr>
                <w:rFonts w:hint="default" w:ascii="Times New Roman" w:hAnsi="Times New Roman" w:cs="Times New Roman"/>
                <w:sz w:val="24"/>
                <w:lang w:eastAsia="zh-CN"/>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3</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生活垃圾</w:t>
            </w:r>
          </w:p>
          <w:p>
            <w:pPr>
              <w:spacing w:line="480" w:lineRule="exact"/>
              <w:ind w:firstLine="470" w:firstLineChars="196"/>
              <w:rPr>
                <w:rFonts w:hint="default" w:ascii="Times New Roman" w:hAnsi="Times New Roman" w:cs="Times New Roman"/>
                <w:sz w:val="24"/>
              </w:rPr>
            </w:pPr>
            <w:r>
              <w:rPr>
                <w:rFonts w:hint="default" w:ascii="Times New Roman" w:hAnsi="Times New Roman" w:cs="Times New Roman"/>
                <w:sz w:val="24"/>
              </w:rPr>
              <w:t>项目劳动定员</w:t>
            </w:r>
            <w:r>
              <w:rPr>
                <w:rFonts w:hint="default" w:ascii="Times New Roman" w:hAnsi="Times New Roman" w:cs="Times New Roman"/>
                <w:sz w:val="24"/>
                <w:lang w:val="en-US" w:eastAsia="zh-CN"/>
              </w:rPr>
              <w:t>12</w:t>
            </w:r>
            <w:r>
              <w:rPr>
                <w:rFonts w:hint="default" w:ascii="Times New Roman" w:hAnsi="Times New Roman" w:cs="Times New Roman"/>
                <w:sz w:val="24"/>
              </w:rPr>
              <w:t>人，年工作</w:t>
            </w:r>
            <w:r>
              <w:rPr>
                <w:rFonts w:hint="default" w:ascii="Times New Roman" w:hAnsi="Times New Roman" w:cs="Times New Roman"/>
                <w:sz w:val="24"/>
                <w:lang w:val="en-US" w:eastAsia="zh-CN"/>
              </w:rPr>
              <w:t>30</w:t>
            </w:r>
            <w:r>
              <w:rPr>
                <w:rFonts w:hint="default" w:ascii="Times New Roman" w:hAnsi="Times New Roman" w:cs="Times New Roman"/>
                <w:sz w:val="24"/>
              </w:rPr>
              <w:t>0天。职工垃圾产生量取0.5kg/人·d，则生活垃圾产生量为</w:t>
            </w:r>
            <w:r>
              <w:rPr>
                <w:rFonts w:hint="default" w:ascii="Times New Roman" w:hAnsi="Times New Roman" w:cs="Times New Roman"/>
                <w:sz w:val="24"/>
                <w:lang w:val="en-US" w:eastAsia="zh-CN"/>
              </w:rPr>
              <w:t>0.8</w:t>
            </w:r>
            <w:r>
              <w:rPr>
                <w:rFonts w:hint="default" w:ascii="Times New Roman" w:hAnsi="Times New Roman" w:cs="Times New Roman"/>
                <w:sz w:val="24"/>
              </w:rPr>
              <w:t>t/a，</w:t>
            </w:r>
            <w:r>
              <w:rPr>
                <w:rFonts w:hint="default" w:ascii="Times New Roman" w:hAnsi="Times New Roman" w:cs="Times New Roman"/>
                <w:sz w:val="24"/>
                <w:lang w:eastAsia="zh-CN"/>
              </w:rPr>
              <w:t>集中收集后交由环卫部门统一处理</w:t>
            </w:r>
            <w:r>
              <w:rPr>
                <w:rFonts w:hint="default" w:ascii="Times New Roman" w:hAnsi="Times New Roman" w:cs="Times New Roman"/>
                <w:sz w:val="24"/>
              </w:rPr>
              <w:t>。</w:t>
            </w:r>
          </w:p>
          <w:p>
            <w:pPr>
              <w:keepNext w:val="0"/>
              <w:keepLines w:val="0"/>
              <w:pageBreakBefore w:val="0"/>
              <w:kinsoku/>
              <w:wordWrap/>
              <w:overflowPunct/>
              <w:topLinePunct w:val="0"/>
              <w:bidi w:val="0"/>
              <w:snapToGrid/>
              <w:spacing w:line="360" w:lineRule="auto"/>
              <w:ind w:firstLine="482" w:firstLineChars="200"/>
              <w:outlineLvl w:val="9"/>
              <w:rPr>
                <w:rFonts w:hint="default" w:ascii="Times New Roman" w:hAnsi="Times New Roman" w:eastAsia="宋体" w:cs="Times New Roman"/>
                <w:b/>
                <w:bCs w:val="0"/>
                <w:color w:val="000000"/>
                <w:sz w:val="24"/>
                <w:szCs w:val="24"/>
                <w:highlight w:val="none"/>
                <w:lang w:eastAsia="zh-CN"/>
              </w:rPr>
            </w:pPr>
            <w:r>
              <w:rPr>
                <w:rFonts w:hint="default" w:ascii="Times New Roman" w:hAnsi="Times New Roman" w:cs="Times New Roman"/>
                <w:b/>
                <w:bCs w:val="0"/>
                <w:color w:val="000000"/>
                <w:sz w:val="24"/>
                <w:szCs w:val="24"/>
                <w:highlight w:val="none"/>
                <w:lang w:val="en-US" w:eastAsia="zh-CN"/>
              </w:rPr>
              <w:t>5</w:t>
            </w:r>
            <w:r>
              <w:rPr>
                <w:rFonts w:hint="default" w:ascii="Times New Roman" w:hAnsi="Times New Roman" w:cs="Times New Roman"/>
                <w:b/>
                <w:bCs w:val="0"/>
                <w:color w:val="000000"/>
                <w:sz w:val="24"/>
                <w:szCs w:val="24"/>
                <w:highlight w:val="none"/>
              </w:rPr>
              <w:t>、环境管理与监测计划</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（1）环境管理制度</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①环境管理机构设置</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根据国家有关规定要求，为切实加强环境保护工作，搞好全厂污染源的监控，设立专门环境管理机构，并配备专职或兼职环保管理人员若干名，负责本企业环保工作。</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②环境管理机构职能</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a协助公司领导贯彻执行国家及其各级政府有关环境保护的法规和政策；</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b建立和监督全厂和各车间、岗位环境保护、清洁生产的管理制度和岗位责任制；</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c建立环境保护档案，负责处理全厂的环境管理工作中的有关事宜；</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d项目运行时负责监督环保设施日常运行、维护管理，落实环保政策；</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e制定厂内各工段污染物排放指标和环保设施运行指标和考核指标，并定时考核和统计；</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f与当地各级环保主管部门保持密切的联系，及时通报各自环保信息；</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g落实环境保护监测计划；</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h负责生产车间内整洁。</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（2）环境监测制度</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①监测目的</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环境监测是环境保护的基础，是进行污染源治理及环保设施管理的依据，因而企业应定期对环保设施及废气、噪声等污染源情况进行监测。</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通过对企业运行中环保设施进行监控，掌握废气、噪声等污染源排放是否符合国家或地方排放标准的要求，做到达标排放，同时对废气、噪声防治设施进行监督检查，保证正常运行。</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②监测计划</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根据该项目生产特点和主要污染物排放情况，提出如下监测要求：</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a厂方应定期对废气、厂界噪声进行监测；</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b建设单位可进行监测的项目定期向</w:t>
            </w:r>
            <w:r>
              <w:rPr>
                <w:rFonts w:hint="default" w:ascii="Times New Roman" w:hAnsi="Times New Roman" w:cs="Times New Roman"/>
                <w:color w:val="000000"/>
                <w:sz w:val="24"/>
                <w:szCs w:val="24"/>
                <w:highlight w:val="none"/>
                <w:lang w:val="en-US" w:eastAsia="zh-CN"/>
              </w:rPr>
              <w:t>大城县</w:t>
            </w:r>
            <w:r>
              <w:rPr>
                <w:rFonts w:hint="default" w:ascii="Times New Roman" w:hAnsi="Times New Roman" w:cs="Times New Roman"/>
                <w:color w:val="000000"/>
                <w:sz w:val="24"/>
                <w:szCs w:val="24"/>
                <w:highlight w:val="none"/>
              </w:rPr>
              <w:t>环境管理部门上报监测结果，建设单位不能自行进行监测的项目需委托有监测资质单位进行监测；</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c监测中发现超标排放或其它异常情况，及时报告企业环保管理部门查找原因、解决处理，遇有特殊情况时应随时监测；</w:t>
            </w:r>
          </w:p>
          <w:p>
            <w:pPr>
              <w:keepNext w:val="0"/>
              <w:keepLines w:val="0"/>
              <w:pageBreakBefore w:val="0"/>
              <w:kinsoku/>
              <w:wordWrap/>
              <w:overflowPunct/>
              <w:topLinePunct w:val="0"/>
              <w:bidi w:val="0"/>
              <w:snapToGrid/>
              <w:spacing w:line="360" w:lineRule="auto"/>
              <w:ind w:firstLine="480" w:firstLineChars="200"/>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d监测点位、监测项目、监测频次见表</w:t>
            </w:r>
            <w:r>
              <w:rPr>
                <w:rFonts w:hint="default" w:ascii="Times New Roman" w:hAnsi="Times New Roman" w:cs="Times New Roman"/>
                <w:color w:val="000000"/>
                <w:sz w:val="24"/>
                <w:szCs w:val="24"/>
                <w:highlight w:val="none"/>
                <w:lang w:val="en-US" w:eastAsia="zh-CN"/>
              </w:rPr>
              <w:t>2</w:t>
            </w:r>
            <w:r>
              <w:rPr>
                <w:rFonts w:hint="eastAsia" w:ascii="Times New Roman" w:hAnsi="Times New Roman" w:cs="Times New Roman"/>
                <w:color w:val="000000"/>
                <w:sz w:val="24"/>
                <w:szCs w:val="24"/>
                <w:highlight w:val="none"/>
                <w:lang w:val="en-US" w:eastAsia="zh-CN"/>
              </w:rPr>
              <w:t>7</w:t>
            </w:r>
            <w:r>
              <w:rPr>
                <w:rFonts w:hint="default" w:ascii="Times New Roman" w:hAnsi="Times New Roman" w:cs="Times New Roman"/>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cs="Times New Roman"/>
                <w:b/>
                <w:color w:val="000000"/>
                <w:sz w:val="24"/>
                <w:szCs w:val="20"/>
                <w:highlight w:val="none"/>
              </w:rPr>
            </w:pPr>
            <w:r>
              <w:rPr>
                <w:rFonts w:hint="default" w:ascii="Times New Roman" w:hAnsi="Times New Roman" w:cs="Times New Roman"/>
                <w:b/>
                <w:color w:val="000000"/>
                <w:sz w:val="24"/>
                <w:szCs w:val="20"/>
                <w:highlight w:val="none"/>
              </w:rPr>
              <w:t>表</w:t>
            </w:r>
            <w:r>
              <w:rPr>
                <w:rFonts w:hint="default" w:ascii="Times New Roman" w:hAnsi="Times New Roman" w:cs="Times New Roman"/>
                <w:b/>
                <w:color w:val="000000"/>
                <w:sz w:val="24"/>
                <w:szCs w:val="20"/>
                <w:highlight w:val="none"/>
                <w:lang w:val="en-US" w:eastAsia="zh-CN"/>
              </w:rPr>
              <w:t>2</w:t>
            </w:r>
            <w:r>
              <w:rPr>
                <w:rFonts w:hint="eastAsia" w:ascii="Times New Roman" w:hAnsi="Times New Roman" w:cs="Times New Roman"/>
                <w:b/>
                <w:color w:val="000000"/>
                <w:sz w:val="24"/>
                <w:szCs w:val="20"/>
                <w:highlight w:val="none"/>
                <w:lang w:val="en-US" w:eastAsia="zh-CN"/>
              </w:rPr>
              <w:t>7</w:t>
            </w:r>
            <w:r>
              <w:rPr>
                <w:rFonts w:hint="default" w:ascii="Times New Roman" w:hAnsi="Times New Roman" w:cs="Times New Roman"/>
                <w:b/>
                <w:color w:val="000000"/>
                <w:sz w:val="24"/>
                <w:szCs w:val="20"/>
                <w:highlight w:val="none"/>
              </w:rPr>
              <w:t xml:space="preserve">   监测计划一览表</w:t>
            </w:r>
          </w:p>
          <w:tbl>
            <w:tblPr>
              <w:tblStyle w:val="37"/>
              <w:tblW w:w="8858"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30"/>
              <w:gridCol w:w="2795"/>
              <w:gridCol w:w="3581"/>
              <w:gridCol w:w="13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42" w:hRule="atLeast"/>
                <w:jc w:val="center"/>
              </w:trPr>
              <w:tc>
                <w:tcPr>
                  <w:tcW w:w="113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污染类型</w:t>
                  </w:r>
                </w:p>
              </w:tc>
              <w:tc>
                <w:tcPr>
                  <w:tcW w:w="27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监测点位</w:t>
                  </w:r>
                </w:p>
              </w:tc>
              <w:tc>
                <w:tcPr>
                  <w:tcW w:w="3581"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监测项目</w:t>
                  </w:r>
                </w:p>
              </w:tc>
              <w:tc>
                <w:tcPr>
                  <w:tcW w:w="1352"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jc w:val="center"/>
              </w:trPr>
              <w:tc>
                <w:tcPr>
                  <w:tcW w:w="113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废气</w:t>
                  </w:r>
                </w:p>
              </w:tc>
              <w:tc>
                <w:tcPr>
                  <w:tcW w:w="27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szCs w:val="21"/>
                      <w:highlight w:val="none"/>
                    </w:rPr>
                    <w:t>废气排气筒</w:t>
                  </w:r>
                </w:p>
              </w:tc>
              <w:tc>
                <w:tcPr>
                  <w:tcW w:w="3581" w:type="dxa"/>
                  <w:tcBorders>
                    <w:tl2br w:val="nil"/>
                    <w:tr2bl w:val="nil"/>
                  </w:tcBorders>
                  <w:noWrap w:val="0"/>
                  <w:vAlign w:val="center"/>
                </w:tcPr>
                <w:p>
                  <w:pPr>
                    <w:keepNext w:val="0"/>
                    <w:keepLines w:val="0"/>
                    <w:pageBreakBefore w:val="0"/>
                    <w:widowControl/>
                    <w:kinsoku/>
                    <w:wordWrap/>
                    <w:overflowPunct/>
                    <w:topLinePunct w:val="0"/>
                    <w:bidi w:val="0"/>
                    <w:adjustRightInd/>
                    <w:snapToGrid/>
                    <w:spacing w:line="360" w:lineRule="auto"/>
                    <w:jc w:val="center"/>
                    <w:outlineLvl w:val="9"/>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eastAsia="zh-CN"/>
                    </w:rPr>
                    <w:t>非甲烷总烃、颗粒物、</w:t>
                  </w:r>
                  <w:r>
                    <w:rPr>
                      <w:rFonts w:hint="default" w:ascii="Times New Roman" w:hAnsi="Times New Roman" w:cs="Times New Roman"/>
                      <w:color w:val="000000"/>
                      <w:szCs w:val="21"/>
                      <w:highlight w:val="none"/>
                      <w:lang w:val="en-US" w:eastAsia="zh-CN"/>
                    </w:rPr>
                    <w:t>SO</w:t>
                  </w:r>
                  <w:r>
                    <w:rPr>
                      <w:rFonts w:hint="default" w:ascii="Times New Roman" w:hAnsi="Times New Roman" w:cs="Times New Roman"/>
                      <w:color w:val="000000"/>
                      <w:szCs w:val="21"/>
                      <w:highlight w:val="none"/>
                      <w:vertAlign w:val="subscript"/>
                      <w:lang w:val="en-US" w:eastAsia="zh-CN"/>
                    </w:rPr>
                    <w:t>2</w:t>
                  </w:r>
                  <w:r>
                    <w:rPr>
                      <w:rFonts w:hint="default" w:ascii="Times New Roman" w:hAnsi="Times New Roman" w:cs="Times New Roman"/>
                      <w:color w:val="000000"/>
                      <w:szCs w:val="21"/>
                      <w:highlight w:val="none"/>
                      <w:lang w:val="en-US" w:eastAsia="zh-CN"/>
                    </w:rPr>
                    <w:t>、NO</w:t>
                  </w:r>
                  <w:r>
                    <w:rPr>
                      <w:rFonts w:hint="default" w:ascii="Times New Roman" w:hAnsi="Times New Roman" w:cs="Times New Roman"/>
                      <w:color w:val="000000"/>
                      <w:szCs w:val="21"/>
                      <w:highlight w:val="none"/>
                      <w:vertAlign w:val="subscript"/>
                      <w:lang w:val="en-US" w:eastAsia="zh-CN"/>
                    </w:rPr>
                    <w:t>X</w:t>
                  </w:r>
                </w:p>
              </w:tc>
              <w:tc>
                <w:tcPr>
                  <w:tcW w:w="1352"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1次/a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jc w:val="center"/>
              </w:trPr>
              <w:tc>
                <w:tcPr>
                  <w:tcW w:w="113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废气</w:t>
                  </w:r>
                </w:p>
              </w:tc>
              <w:tc>
                <w:tcPr>
                  <w:tcW w:w="27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厂界</w:t>
                  </w:r>
                </w:p>
              </w:tc>
              <w:tc>
                <w:tcPr>
                  <w:tcW w:w="3581" w:type="dxa"/>
                  <w:tcBorders>
                    <w:tl2br w:val="nil"/>
                    <w:tr2bl w:val="nil"/>
                  </w:tcBorders>
                  <w:noWrap w:val="0"/>
                  <w:vAlign w:val="center"/>
                </w:tcPr>
                <w:p>
                  <w:pPr>
                    <w:keepNext w:val="0"/>
                    <w:keepLines w:val="0"/>
                    <w:pageBreakBefore w:val="0"/>
                    <w:widowControl/>
                    <w:kinsoku/>
                    <w:wordWrap/>
                    <w:overflowPunct/>
                    <w:topLinePunct w:val="0"/>
                    <w:bidi w:val="0"/>
                    <w:adjustRightInd/>
                    <w:snapToGrid/>
                    <w:spacing w:line="360" w:lineRule="auto"/>
                    <w:jc w:val="center"/>
                    <w:outlineLvl w:val="9"/>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非甲烷总烃</w:t>
                  </w:r>
                </w:p>
              </w:tc>
              <w:tc>
                <w:tcPr>
                  <w:tcW w:w="1352"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1次/a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113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噪声</w:t>
                  </w:r>
                </w:p>
              </w:tc>
              <w:tc>
                <w:tcPr>
                  <w:tcW w:w="2795"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厂界外1m</w:t>
                  </w:r>
                </w:p>
              </w:tc>
              <w:tc>
                <w:tcPr>
                  <w:tcW w:w="3581"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等效连续A声级</w:t>
                  </w:r>
                </w:p>
              </w:tc>
              <w:tc>
                <w:tcPr>
                  <w:tcW w:w="1352"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1次/a</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rPr>
              <w:t>规范排污口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单位在严格进行环境管理的同时还应遵照国家对排污口规范的要求，“三废”及噪声排放点设置了明显标志，标志的设置应执行《环境保护图形标志排放口》（GB15562.1－1995）、《环境保护图形标志固体废物贮存（处置）场》（GB15562.2－1995）中有关规定，见图</w:t>
            </w: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rPr>
              <w:t>。</w:t>
            </w:r>
          </w:p>
          <w:p>
            <w:pPr>
              <w:pStyle w:val="9"/>
              <w:rPr>
                <w:rFonts w:hint="default" w:ascii="Times New Roman" w:hAnsi="Times New Roman" w:cs="Times New Roman"/>
                <w:sz w:val="30"/>
                <w:szCs w:val="30"/>
                <w:highlight w:val="none"/>
              </w:rPr>
            </w:pPr>
          </w:p>
          <w:p>
            <w:pPr>
              <w:pStyle w:val="9"/>
              <w:rPr>
                <w:rFonts w:hint="default" w:ascii="Times New Roman" w:hAnsi="Times New Roman" w:cs="Times New Roman"/>
                <w:sz w:val="30"/>
                <w:szCs w:val="30"/>
                <w:highlight w:val="none"/>
              </w:rPr>
            </w:pPr>
            <w:r>
              <w:rPr>
                <w:rFonts w:hint="default" w:ascii="Times New Roman" w:hAnsi="Times New Roman" w:cs="Times New Roman"/>
                <w:b/>
                <w:bCs/>
                <w:sz w:val="24"/>
                <w:szCs w:val="24"/>
                <w:highlight w:val="none"/>
              </w:rPr>
              <w:pict>
                <v:shape id="_x0000_s2217" o:spid="_x0000_s2217" o:spt="75" alt="6e5bb67e61736b6393da61ba6e1c945" type="#_x0000_t75" style="position:absolute;left:0pt;margin-left:92.05pt;margin-top:7.45pt;height:103.15pt;width:282.75pt;z-index:251659264;mso-width-relative:page;mso-height-relative:page;" filled="f" o:preferrelative="t" stroked="f" coordsize="21600,21600">
                  <v:path/>
                  <v:fill on="f" focussize="0,0"/>
                  <v:stroke on="f"/>
                  <v:imagedata r:id="rId17" o:title="6e5bb67e61736b6393da61ba6e1c945"/>
                  <o:lock v:ext="edit" aspectratio="t"/>
                </v:shape>
              </w:pict>
            </w:r>
          </w:p>
          <w:p>
            <w:pPr>
              <w:pStyle w:val="9"/>
              <w:rPr>
                <w:rFonts w:hint="default" w:ascii="Times New Roman" w:hAnsi="Times New Roman" w:cs="Times New Roman"/>
                <w:sz w:val="30"/>
                <w:szCs w:val="30"/>
                <w:highlight w:val="none"/>
              </w:rPr>
            </w:pPr>
          </w:p>
          <w:p>
            <w:pPr>
              <w:pStyle w:val="9"/>
              <w:rPr>
                <w:rFonts w:hint="default" w:ascii="Times New Roman" w:hAnsi="Times New Roman" w:cs="Times New Roman"/>
                <w:sz w:val="30"/>
                <w:szCs w:val="30"/>
                <w:highlight w:val="none"/>
              </w:rPr>
            </w:pPr>
          </w:p>
          <w:p>
            <w:pPr>
              <w:pStyle w:val="9"/>
              <w:rPr>
                <w:rFonts w:hint="default" w:ascii="Times New Roman" w:hAnsi="Times New Roman"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93"/>
              <w:jc w:val="center"/>
              <w:textAlignment w:val="auto"/>
              <w:outlineLvl w:val="9"/>
              <w:rPr>
                <w:rFonts w:hint="default" w:ascii="Times New Roman" w:hAnsi="Times New Roman" w:cs="Times New Roman"/>
                <w:sz w:val="30"/>
                <w:szCs w:val="30"/>
                <w:highlight w:val="none"/>
              </w:rPr>
            </w:pPr>
            <w:r>
              <w:rPr>
                <w:rFonts w:hint="default" w:ascii="Times New Roman" w:hAnsi="Times New Roman" w:cs="Times New Roman"/>
                <w:b/>
                <w:bCs/>
                <w:sz w:val="24"/>
                <w:szCs w:val="24"/>
                <w:highlight w:val="none"/>
                <w:lang w:val="en-US" w:eastAsia="zh-CN"/>
              </w:rPr>
              <w:t>图3废气排放口标志图</w:t>
            </w:r>
          </w:p>
          <w:p>
            <w:pPr>
              <w:spacing w:line="540" w:lineRule="atLeast"/>
              <w:ind w:firstLine="493"/>
              <w:jc w:val="both"/>
              <w:rPr>
                <w:rFonts w:hint="default" w:ascii="Times New Roman" w:hAnsi="Times New Roman" w:cs="Times New Roman"/>
                <w:sz w:val="30"/>
                <w:szCs w:val="30"/>
                <w:highlight w:val="none"/>
              </w:rPr>
            </w:pPr>
          </w:p>
          <w:p>
            <w:pPr>
              <w:spacing w:line="540" w:lineRule="atLeast"/>
              <w:ind w:firstLine="493"/>
              <w:jc w:val="both"/>
              <w:rPr>
                <w:rFonts w:hint="default" w:ascii="Times New Roman" w:hAnsi="Times New Roman" w:cs="Times New Roman"/>
                <w:kern w:val="0"/>
                <w:sz w:val="24"/>
                <w:szCs w:val="24"/>
                <w:highlight w:val="none"/>
              </w:rPr>
            </w:pPr>
            <w:r>
              <w:rPr>
                <w:rFonts w:hint="default" w:ascii="Times New Roman" w:hAnsi="Times New Roman" w:cs="Times New Roman"/>
                <w:sz w:val="30"/>
                <w:szCs w:val="30"/>
                <w:highlight w:val="none"/>
              </w:rPr>
              <w:t>●</w:t>
            </w:r>
            <w:r>
              <w:rPr>
                <w:rFonts w:hint="default" w:ascii="Times New Roman" w:hAnsi="Times New Roman" w:cs="Times New Roman"/>
                <w:sz w:val="30"/>
                <w:szCs w:val="30"/>
                <w:highlight w:val="none"/>
                <w:lang w:val="en-US" w:eastAsia="zh-CN"/>
              </w:rPr>
              <w:t xml:space="preserve"> </w:t>
            </w:r>
            <w:r>
              <w:rPr>
                <w:rFonts w:hint="default" w:ascii="Times New Roman" w:hAnsi="Times New Roman" w:cs="Times New Roman"/>
                <w:kern w:val="0"/>
                <w:sz w:val="24"/>
                <w:szCs w:val="24"/>
                <w:highlight w:val="none"/>
              </w:rPr>
              <w:t>排污口管理</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排污口是企业污染物进入环境，污染环境的通道，强化排污口的管理是实施污染物总量控制的基础工作之一，也是区域环境管理逐步实现污染物排放科学化、定量化的重要手段。</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具体管理原则如下：</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1</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向环境排放的污染物的排放口必须规范化。</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列入总量控制的污染物、排污口列为管理的重点。</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排污口应便于采样与计量监测，便于日常现场监督检查。</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如实向环保管理部门申报排污口数量、位置及所排放的主要污染物种类、数量、浓度、排放去向等情况。</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废气排气装置应设置便于采样、监测的采样孔和采样平台，设置应符合《污染源监测技术规范》。</w:t>
            </w:r>
          </w:p>
          <w:p>
            <w:pPr>
              <w:keepNext w:val="0"/>
              <w:keepLines w:val="0"/>
              <w:pageBreakBefore w:val="0"/>
              <w:widowControl/>
              <w:numPr>
                <w:ilvl w:val="0"/>
                <w:numId w:val="5"/>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排污口立标管理</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对上述污染物排放口和固体废物堆场，应按照国家《环境保护图形标志》（GB15562.1-95）与（GB1556.2-95）规定，设置国家环保局统一制作的环境保护图形标志牌；</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rPr>
              <w:t>污染物排放口的环保图形标志牌应设置在靠近采样点且醒目处，标志牌设置高度为其上边缘距离地面约2m</w:t>
            </w:r>
            <w:r>
              <w:rPr>
                <w:rFonts w:hint="default" w:ascii="Times New Roman" w:hAnsi="Times New Roman" w:cs="Times New Roman"/>
                <w:sz w:val="24"/>
                <w:szCs w:val="24"/>
                <w:highlight w:val="none"/>
                <w:lang w:eastAsia="zh-CN"/>
              </w:rPr>
              <w:t>。</w:t>
            </w:r>
          </w:p>
          <w:p>
            <w:pPr>
              <w:pStyle w:val="8"/>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default" w:ascii="Times New Roman" w:hAnsi="Times New Roman" w:cs="Times New Roman"/>
                <w:sz w:val="24"/>
                <w:szCs w:val="24"/>
                <w:highlight w:val="none"/>
                <w:lang w:eastAsia="zh-CN"/>
              </w:rPr>
            </w:pPr>
          </w:p>
          <w:p>
            <w:pPr>
              <w:pStyle w:val="8"/>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default" w:ascii="Times New Roman" w:hAnsi="Times New Roman" w:cs="Times New Roman"/>
                <w:sz w:val="24"/>
                <w:szCs w:val="24"/>
                <w:highlight w:val="none"/>
                <w:lang w:eastAsia="zh-CN"/>
              </w:rPr>
            </w:pPr>
          </w:p>
        </w:tc>
      </w:tr>
    </w:tbl>
    <w:p>
      <w:pPr>
        <w:ind w:left="-178" w:leftChars="-85"/>
        <w:outlineLvl w:val="0"/>
        <w:rPr>
          <w:b/>
          <w:color w:val="000000"/>
          <w:sz w:val="32"/>
          <w:highlight w:val="none"/>
        </w:rPr>
      </w:pPr>
    </w:p>
    <w:p>
      <w:pPr>
        <w:ind w:left="-178" w:leftChars="-85"/>
        <w:outlineLvl w:val="0"/>
        <w:rPr>
          <w:b/>
          <w:color w:val="000000"/>
          <w:sz w:val="32"/>
          <w:highlight w:val="none"/>
        </w:rPr>
        <w:sectPr>
          <w:footerReference r:id="rId5" w:type="default"/>
          <w:pgSz w:w="11906" w:h="16838"/>
          <w:pgMar w:top="1418" w:right="1418" w:bottom="1418" w:left="1620" w:header="1021" w:footer="907" w:gutter="0"/>
          <w:pgBorders w:offsetFrom="page">
            <w:top w:val="none" w:sz="0" w:space="0"/>
            <w:left w:val="none" w:sz="0" w:space="0"/>
            <w:bottom w:val="none" w:sz="0" w:space="0"/>
            <w:right w:val="none" w:sz="0" w:space="0"/>
          </w:pgBorders>
          <w:pgNumType w:start="1"/>
          <w:cols w:space="720" w:num="1"/>
          <w:docGrid w:type="lines" w:linePitch="312" w:charSpace="0"/>
        </w:sectPr>
      </w:pPr>
    </w:p>
    <w:p>
      <w:pPr>
        <w:ind w:left="-178" w:leftChars="-85"/>
        <w:outlineLvl w:val="0"/>
        <w:rPr>
          <w:b/>
          <w:color w:val="000000"/>
          <w:sz w:val="32"/>
          <w:highlight w:val="none"/>
        </w:rPr>
      </w:pPr>
      <w:r>
        <w:rPr>
          <w:b/>
          <w:color w:val="000000"/>
          <w:sz w:val="32"/>
          <w:highlight w:val="none"/>
        </w:rPr>
        <w:t>建设项目拟采取的防治措施及预期治理效果</w:t>
      </w:r>
    </w:p>
    <w:tbl>
      <w:tblPr>
        <w:tblStyle w:val="37"/>
        <w:tblW w:w="908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9"/>
        <w:gridCol w:w="1630"/>
        <w:gridCol w:w="1584"/>
        <w:gridCol w:w="3427"/>
        <w:gridCol w:w="1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19" w:type="dxa"/>
            <w:tcBorders>
              <w:tl2br w:val="single" w:color="auto" w:sz="6" w:space="0"/>
            </w:tcBorders>
            <w:noWrap w:val="0"/>
            <w:vAlign w:val="center"/>
          </w:tcPr>
          <w:p>
            <w:pPr>
              <w:jc w:val="center"/>
              <w:rPr>
                <w:rFonts w:hint="eastAsia" w:ascii="宋体" w:hAnsi="宋体" w:cs="宋体"/>
                <w:b/>
                <w:bCs/>
                <w:sz w:val="24"/>
                <w:highlight w:val="none"/>
              </w:rPr>
            </w:pPr>
            <w:r>
              <w:rPr>
                <w:rFonts w:hint="eastAsia" w:ascii="宋体" w:hAnsi="宋体" w:cs="宋体"/>
                <w:b/>
                <w:bCs/>
                <w:sz w:val="24"/>
                <w:highlight w:val="none"/>
              </w:rPr>
              <w:t>内容</w:t>
            </w:r>
          </w:p>
          <w:p>
            <w:pPr>
              <w:jc w:val="center"/>
              <w:rPr>
                <w:rFonts w:hint="eastAsia" w:ascii="宋体" w:hAnsi="宋体" w:cs="宋体"/>
                <w:b/>
                <w:bCs/>
                <w:sz w:val="24"/>
                <w:highlight w:val="none"/>
              </w:rPr>
            </w:pPr>
            <w:r>
              <w:rPr>
                <w:rFonts w:hint="eastAsia" w:ascii="宋体" w:hAnsi="宋体" w:cs="宋体"/>
                <w:b/>
                <w:bCs/>
                <w:sz w:val="24"/>
                <w:highlight w:val="none"/>
              </w:rPr>
              <w:t>类型</w:t>
            </w:r>
          </w:p>
        </w:tc>
        <w:tc>
          <w:tcPr>
            <w:tcW w:w="1630" w:type="dxa"/>
            <w:noWrap w:val="0"/>
            <w:vAlign w:val="center"/>
          </w:tcPr>
          <w:p>
            <w:pPr>
              <w:jc w:val="center"/>
              <w:rPr>
                <w:rFonts w:hint="eastAsia" w:ascii="宋体" w:hAnsi="宋体" w:cs="宋体"/>
                <w:b/>
                <w:bCs/>
                <w:sz w:val="24"/>
                <w:highlight w:val="none"/>
              </w:rPr>
            </w:pPr>
            <w:r>
              <w:rPr>
                <w:rFonts w:hint="eastAsia" w:ascii="宋体" w:hAnsi="宋体" w:cs="宋体"/>
                <w:b/>
                <w:bCs/>
                <w:sz w:val="24"/>
                <w:highlight w:val="none"/>
              </w:rPr>
              <w:t>排放源</w:t>
            </w:r>
          </w:p>
          <w:p>
            <w:pPr>
              <w:jc w:val="center"/>
              <w:rPr>
                <w:rFonts w:hint="eastAsia" w:ascii="宋体" w:hAnsi="宋体" w:eastAsia="宋体" w:cs="宋体"/>
                <w:b/>
                <w:bCs/>
                <w:sz w:val="24"/>
                <w:highlight w:val="none"/>
                <w:lang w:eastAsia="zh-CN"/>
              </w:rPr>
            </w:pPr>
            <w:r>
              <w:rPr>
                <w:rFonts w:hint="eastAsia" w:ascii="宋体" w:hAnsi="宋体" w:cs="宋体"/>
                <w:b/>
                <w:bCs/>
                <w:sz w:val="24"/>
                <w:highlight w:val="none"/>
                <w:lang w:eastAsia="zh-CN"/>
              </w:rPr>
              <w:t>（</w:t>
            </w:r>
            <w:r>
              <w:rPr>
                <w:rFonts w:hint="eastAsia" w:ascii="宋体" w:hAnsi="宋体" w:cs="宋体"/>
                <w:b/>
                <w:bCs/>
                <w:sz w:val="24"/>
                <w:highlight w:val="none"/>
              </w:rPr>
              <w:t>编号</w:t>
            </w:r>
            <w:r>
              <w:rPr>
                <w:rFonts w:hint="eastAsia" w:ascii="宋体" w:hAnsi="宋体" w:cs="宋体"/>
                <w:b/>
                <w:bCs/>
                <w:sz w:val="24"/>
                <w:highlight w:val="none"/>
                <w:lang w:eastAsia="zh-CN"/>
              </w:rPr>
              <w:t>）</w:t>
            </w:r>
          </w:p>
        </w:tc>
        <w:tc>
          <w:tcPr>
            <w:tcW w:w="1584" w:type="dxa"/>
            <w:noWrap w:val="0"/>
            <w:vAlign w:val="center"/>
          </w:tcPr>
          <w:p>
            <w:pPr>
              <w:jc w:val="center"/>
              <w:rPr>
                <w:rFonts w:hint="eastAsia" w:ascii="宋体" w:hAnsi="宋体" w:cs="宋体"/>
                <w:b/>
                <w:bCs/>
                <w:sz w:val="24"/>
                <w:highlight w:val="none"/>
              </w:rPr>
            </w:pPr>
            <w:r>
              <w:rPr>
                <w:rFonts w:hint="eastAsia" w:ascii="宋体" w:hAnsi="宋体" w:cs="宋体"/>
                <w:b/>
                <w:bCs/>
                <w:sz w:val="24"/>
                <w:highlight w:val="none"/>
              </w:rPr>
              <w:t>污染物名称</w:t>
            </w:r>
          </w:p>
        </w:tc>
        <w:tc>
          <w:tcPr>
            <w:tcW w:w="3427" w:type="dxa"/>
            <w:noWrap w:val="0"/>
            <w:vAlign w:val="center"/>
          </w:tcPr>
          <w:p>
            <w:pPr>
              <w:jc w:val="center"/>
              <w:rPr>
                <w:rFonts w:hint="eastAsia" w:ascii="宋体" w:hAnsi="宋体" w:cs="宋体"/>
                <w:b/>
                <w:bCs/>
                <w:sz w:val="24"/>
                <w:highlight w:val="none"/>
              </w:rPr>
            </w:pPr>
            <w:r>
              <w:rPr>
                <w:rFonts w:hint="eastAsia" w:ascii="宋体" w:hAnsi="宋体" w:cs="宋体"/>
                <w:b/>
                <w:bCs/>
                <w:sz w:val="24"/>
                <w:highlight w:val="none"/>
              </w:rPr>
              <w:t>防治措施</w:t>
            </w:r>
          </w:p>
        </w:tc>
        <w:tc>
          <w:tcPr>
            <w:tcW w:w="1724" w:type="dxa"/>
            <w:noWrap w:val="0"/>
            <w:vAlign w:val="center"/>
          </w:tcPr>
          <w:p>
            <w:pPr>
              <w:jc w:val="center"/>
              <w:rPr>
                <w:rFonts w:hint="eastAsia" w:ascii="宋体" w:hAnsi="宋体" w:cs="宋体"/>
                <w:b/>
                <w:bCs/>
                <w:sz w:val="24"/>
                <w:highlight w:val="none"/>
              </w:rPr>
            </w:pPr>
            <w:r>
              <w:rPr>
                <w:rFonts w:hint="eastAsia" w:ascii="宋体" w:hAnsi="宋体" w:cs="宋体"/>
                <w:b/>
                <w:bCs/>
                <w:sz w:val="24"/>
                <w:highlight w:val="none"/>
              </w:rPr>
              <w:t>预期防治效果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19" w:type="dxa"/>
            <w:vMerge w:val="restart"/>
            <w:tcBorders>
              <w:right w:val="single" w:color="auto" w:sz="4" w:space="0"/>
            </w:tcBorders>
            <w:noWrap w:val="0"/>
            <w:vAlign w:val="center"/>
          </w:tcPr>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大</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气</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污</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染</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物</w:t>
            </w:r>
          </w:p>
        </w:tc>
        <w:tc>
          <w:tcPr>
            <w:tcW w:w="1630" w:type="dxa"/>
            <w:tcBorders>
              <w:left w:val="single" w:color="auto" w:sz="4" w:space="0"/>
            </w:tcBorders>
            <w:noWrap w:val="0"/>
            <w:vAlign w:val="center"/>
          </w:tcPr>
          <w:p>
            <w:pPr>
              <w:spacing w:line="240" w:lineRule="auto"/>
              <w:jc w:val="center"/>
              <w:rPr>
                <w:rFonts w:hint="eastAsia" w:eastAsia="宋体"/>
                <w:sz w:val="24"/>
                <w:highlight w:val="none"/>
                <w:lang w:eastAsia="zh-CN"/>
              </w:rPr>
            </w:pPr>
            <w:r>
              <w:rPr>
                <w:rFonts w:hint="eastAsia" w:ascii="Times New Roman" w:hAnsi="Times New Roman" w:eastAsia="宋体" w:cs="宋体"/>
                <w:sz w:val="24"/>
                <w:szCs w:val="20"/>
                <w:lang w:eastAsia="zh-CN"/>
              </w:rPr>
              <w:t>发泡、打板、切割</w:t>
            </w:r>
          </w:p>
        </w:tc>
        <w:tc>
          <w:tcPr>
            <w:tcW w:w="1584" w:type="dxa"/>
            <w:tcBorders>
              <w:bottom w:val="single" w:color="auto" w:sz="4" w:space="0"/>
            </w:tcBorders>
            <w:noWrap w:val="0"/>
            <w:vAlign w:val="center"/>
          </w:tcPr>
          <w:p>
            <w:pPr>
              <w:spacing w:line="240" w:lineRule="auto"/>
              <w:jc w:val="center"/>
              <w:rPr>
                <w:rFonts w:hint="eastAsia" w:eastAsia="宋体"/>
                <w:sz w:val="24"/>
                <w:highlight w:val="none"/>
                <w:lang w:eastAsia="zh-CN"/>
              </w:rPr>
            </w:pPr>
            <w:r>
              <w:rPr>
                <w:rFonts w:hint="eastAsia" w:ascii="Times New Roman" w:hAnsi="Times New Roman" w:eastAsia="宋体" w:cs="Times New Roman"/>
                <w:spacing w:val="6"/>
                <w:sz w:val="24"/>
                <w:szCs w:val="24"/>
                <w:lang w:eastAsia="zh-CN"/>
              </w:rPr>
              <w:t>非甲烷总烃</w:t>
            </w:r>
          </w:p>
        </w:tc>
        <w:tc>
          <w:tcPr>
            <w:tcW w:w="3427" w:type="dxa"/>
            <w:tcBorders>
              <w:bottom w:val="single" w:color="auto" w:sz="4" w:space="0"/>
            </w:tcBorders>
            <w:noWrap w:val="0"/>
            <w:vAlign w:val="center"/>
          </w:tcPr>
          <w:p>
            <w:pPr>
              <w:spacing w:line="240" w:lineRule="auto"/>
              <w:jc w:val="center"/>
              <w:rPr>
                <w:rFonts w:hint="eastAsia" w:eastAsia="宋体"/>
                <w:sz w:val="24"/>
                <w:highlight w:val="none"/>
                <w:lang w:val="en-US" w:eastAsia="zh-CN"/>
              </w:rPr>
            </w:pPr>
            <w:r>
              <w:rPr>
                <w:rFonts w:hint="eastAsia" w:eastAsia="宋体"/>
                <w:sz w:val="24"/>
                <w:highlight w:val="none"/>
                <w:lang w:eastAsia="zh-CN"/>
              </w:rPr>
              <w:t>集气罩</w:t>
            </w:r>
            <w:r>
              <w:rPr>
                <w:rFonts w:hint="eastAsia" w:eastAsia="宋体"/>
                <w:sz w:val="24"/>
                <w:highlight w:val="none"/>
                <w:lang w:val="en-US" w:eastAsia="zh-CN"/>
              </w:rPr>
              <w:t>+活性炭吸附+光氧催化设备+15m高排气筒</w:t>
            </w:r>
          </w:p>
        </w:tc>
        <w:tc>
          <w:tcPr>
            <w:tcW w:w="1724" w:type="dxa"/>
            <w:tcBorders>
              <w:bottom w:val="single" w:color="auto" w:sz="4" w:space="0"/>
            </w:tcBorders>
            <w:noWrap w:val="0"/>
            <w:vAlign w:val="center"/>
          </w:tcPr>
          <w:p>
            <w:pPr>
              <w:spacing w:line="240" w:lineRule="auto"/>
              <w:jc w:val="center"/>
              <w:rPr>
                <w:rFonts w:hint="eastAsia" w:eastAsia="宋体"/>
                <w:sz w:val="24"/>
                <w:highlight w:val="none"/>
                <w:lang w:eastAsia="zh-CN"/>
              </w:rPr>
            </w:pPr>
            <w:r>
              <w:rPr>
                <w:rFonts w:hint="eastAsia" w:ascii="Times New Roman" w:hAnsi="宋体" w:eastAsia="宋体" w:cs="Times New Roman"/>
                <w:sz w:val="24"/>
                <w:szCs w:val="24"/>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19" w:type="dxa"/>
            <w:vMerge w:val="continue"/>
            <w:tcBorders>
              <w:right w:val="single" w:color="auto" w:sz="4" w:space="0"/>
            </w:tcBorders>
            <w:noWrap w:val="0"/>
            <w:vAlign w:val="center"/>
          </w:tcPr>
          <w:p>
            <w:pPr>
              <w:adjustRightInd w:val="0"/>
              <w:snapToGrid w:val="0"/>
              <w:jc w:val="center"/>
              <w:rPr>
                <w:rFonts w:hint="eastAsia" w:ascii="宋体" w:hAnsi="宋体" w:cs="宋体"/>
                <w:bCs/>
                <w:sz w:val="24"/>
                <w:highlight w:val="none"/>
              </w:rPr>
            </w:pPr>
          </w:p>
        </w:tc>
        <w:tc>
          <w:tcPr>
            <w:tcW w:w="1630" w:type="dxa"/>
            <w:tcBorders>
              <w:left w:val="single" w:color="auto" w:sz="4" w:space="0"/>
            </w:tcBorders>
            <w:noWrap w:val="0"/>
            <w:vAlign w:val="center"/>
          </w:tcPr>
          <w:p>
            <w:pPr>
              <w:spacing w:line="240" w:lineRule="auto"/>
              <w:jc w:val="center"/>
              <w:rPr>
                <w:rFonts w:hint="eastAsia" w:eastAsia="宋体"/>
                <w:sz w:val="24"/>
                <w:highlight w:val="none"/>
                <w:lang w:eastAsia="zh-CN"/>
              </w:rPr>
            </w:pPr>
            <w:r>
              <w:rPr>
                <w:rFonts w:hint="eastAsia" w:eastAsia="宋体"/>
                <w:sz w:val="24"/>
                <w:highlight w:val="none"/>
                <w:lang w:eastAsia="zh-CN"/>
              </w:rPr>
              <w:t>打浆</w:t>
            </w:r>
          </w:p>
        </w:tc>
        <w:tc>
          <w:tcPr>
            <w:tcW w:w="1584" w:type="dxa"/>
            <w:tcBorders>
              <w:bottom w:val="single" w:color="auto" w:sz="4" w:space="0"/>
            </w:tcBorders>
            <w:noWrap w:val="0"/>
            <w:vAlign w:val="center"/>
          </w:tcPr>
          <w:p>
            <w:pPr>
              <w:spacing w:line="240" w:lineRule="auto"/>
              <w:jc w:val="center"/>
              <w:rPr>
                <w:rFonts w:hint="eastAsia" w:ascii="Times New Roman" w:hAnsi="Times New Roman" w:eastAsia="宋体" w:cs="Times New Roman"/>
                <w:spacing w:val="6"/>
                <w:sz w:val="24"/>
                <w:szCs w:val="24"/>
                <w:lang w:eastAsia="zh-CN"/>
              </w:rPr>
            </w:pPr>
            <w:r>
              <w:rPr>
                <w:rFonts w:hint="eastAsia" w:ascii="Times New Roman" w:hAnsi="Times New Roman" w:eastAsia="宋体" w:cs="Times New Roman"/>
                <w:spacing w:val="6"/>
                <w:sz w:val="24"/>
                <w:szCs w:val="24"/>
                <w:lang w:eastAsia="zh-CN"/>
              </w:rPr>
              <w:t>颗粒物</w:t>
            </w:r>
          </w:p>
        </w:tc>
        <w:tc>
          <w:tcPr>
            <w:tcW w:w="3427" w:type="dxa"/>
            <w:tcBorders>
              <w:bottom w:val="single" w:color="auto" w:sz="4" w:space="0"/>
            </w:tcBorders>
            <w:noWrap w:val="0"/>
            <w:vAlign w:val="center"/>
          </w:tcPr>
          <w:p>
            <w:pPr>
              <w:spacing w:line="240" w:lineRule="auto"/>
              <w:jc w:val="center"/>
              <w:rPr>
                <w:rFonts w:hint="eastAsia" w:eastAsia="宋体"/>
                <w:sz w:val="24"/>
                <w:highlight w:val="none"/>
                <w:lang w:eastAsia="zh-CN"/>
              </w:rPr>
            </w:pPr>
            <w:r>
              <w:rPr>
                <w:rFonts w:hint="eastAsia" w:eastAsia="宋体"/>
                <w:sz w:val="24"/>
                <w:highlight w:val="none"/>
                <w:lang w:eastAsia="zh-CN"/>
              </w:rPr>
              <w:t>集气罩</w:t>
            </w:r>
            <w:r>
              <w:rPr>
                <w:rFonts w:hint="eastAsia" w:eastAsia="宋体"/>
                <w:sz w:val="24"/>
                <w:highlight w:val="none"/>
                <w:lang w:val="en-US" w:eastAsia="zh-CN"/>
              </w:rPr>
              <w:t>+布袋除尘器备+15m高排气筒</w:t>
            </w:r>
          </w:p>
        </w:tc>
        <w:tc>
          <w:tcPr>
            <w:tcW w:w="1724" w:type="dxa"/>
            <w:tcBorders>
              <w:bottom w:val="single" w:color="auto" w:sz="4" w:space="0"/>
            </w:tcBorders>
            <w:noWrap w:val="0"/>
            <w:vAlign w:val="center"/>
          </w:tcPr>
          <w:p>
            <w:pPr>
              <w:spacing w:line="240" w:lineRule="auto"/>
              <w:jc w:val="center"/>
              <w:rPr>
                <w:rFonts w:hint="eastAsia" w:ascii="Times New Roman" w:hAnsi="宋体" w:eastAsia="宋体" w:cs="Times New Roman"/>
                <w:sz w:val="24"/>
                <w:szCs w:val="24"/>
              </w:rPr>
            </w:pPr>
            <w:r>
              <w:rPr>
                <w:rFonts w:hint="eastAsia" w:ascii="Times New Roman" w:hAnsi="宋体" w:eastAsia="宋体" w:cs="Times New Roman"/>
                <w:sz w:val="24"/>
                <w:szCs w:val="24"/>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19" w:type="dxa"/>
            <w:vMerge w:val="continue"/>
            <w:tcBorders>
              <w:right w:val="single" w:color="auto" w:sz="4" w:space="0"/>
            </w:tcBorders>
            <w:noWrap w:val="0"/>
            <w:vAlign w:val="center"/>
          </w:tcPr>
          <w:p>
            <w:pPr>
              <w:adjustRightInd w:val="0"/>
              <w:snapToGrid w:val="0"/>
              <w:jc w:val="center"/>
              <w:rPr>
                <w:rFonts w:hint="eastAsia" w:ascii="宋体" w:hAnsi="宋体" w:cs="宋体"/>
                <w:bCs/>
                <w:sz w:val="24"/>
                <w:highlight w:val="none"/>
              </w:rPr>
            </w:pPr>
          </w:p>
        </w:tc>
        <w:tc>
          <w:tcPr>
            <w:tcW w:w="1630" w:type="dxa"/>
            <w:tcBorders>
              <w:left w:val="single" w:color="auto" w:sz="4" w:space="0"/>
            </w:tcBorders>
            <w:noWrap w:val="0"/>
            <w:vAlign w:val="center"/>
          </w:tcPr>
          <w:p>
            <w:pPr>
              <w:spacing w:line="240" w:lineRule="auto"/>
              <w:jc w:val="center"/>
              <w:rPr>
                <w:rFonts w:hint="eastAsia" w:eastAsia="宋体"/>
                <w:sz w:val="24"/>
                <w:szCs w:val="24"/>
                <w:highlight w:val="none"/>
                <w:lang w:eastAsia="zh-CN"/>
              </w:rPr>
            </w:pPr>
            <w:r>
              <w:rPr>
                <w:rFonts w:hint="eastAsia" w:ascii="Times New Roman" w:hAnsi="Times New Roman" w:eastAsia="宋体" w:cs="Times New Roman"/>
                <w:spacing w:val="6"/>
                <w:sz w:val="24"/>
                <w:szCs w:val="24"/>
                <w:lang w:eastAsia="zh-CN"/>
              </w:rPr>
              <w:t>燃气锅炉</w:t>
            </w:r>
          </w:p>
        </w:tc>
        <w:tc>
          <w:tcPr>
            <w:tcW w:w="1584" w:type="dxa"/>
            <w:tcBorders>
              <w:bottom w:val="single" w:color="auto" w:sz="4" w:space="0"/>
            </w:tcBorders>
            <w:noWrap w:val="0"/>
            <w:vAlign w:val="center"/>
          </w:tcPr>
          <w:p>
            <w:pPr>
              <w:spacing w:line="240" w:lineRule="auto"/>
              <w:jc w:val="center"/>
              <w:rPr>
                <w:rFonts w:hint="eastAsia" w:eastAsia="宋体"/>
                <w:sz w:val="24"/>
                <w:szCs w:val="24"/>
                <w:highlight w:val="none"/>
                <w:lang w:val="en-US" w:eastAsia="zh-CN"/>
              </w:rPr>
            </w:pPr>
            <w:r>
              <w:rPr>
                <w:rFonts w:hint="eastAsia" w:ascii="Times New Roman" w:hAnsi="Times New Roman" w:cs="Times New Roman"/>
                <w:color w:val="000000"/>
                <w:sz w:val="24"/>
                <w:szCs w:val="24"/>
                <w:highlight w:val="none"/>
                <w:lang w:eastAsia="zh-CN"/>
              </w:rPr>
              <w:t>颗粒物、</w:t>
            </w:r>
            <w:r>
              <w:rPr>
                <w:rFonts w:hint="eastAsia" w:ascii="Times New Roman" w:hAnsi="Times New Roman" w:cs="Times New Roman"/>
                <w:color w:val="000000"/>
                <w:sz w:val="24"/>
                <w:szCs w:val="24"/>
                <w:highlight w:val="none"/>
                <w:lang w:val="en-US" w:eastAsia="zh-CN"/>
              </w:rPr>
              <w:t>SO</w:t>
            </w:r>
            <w:r>
              <w:rPr>
                <w:rFonts w:hint="eastAsia" w:ascii="Times New Roman" w:hAnsi="Times New Roman" w:cs="Times New Roman"/>
                <w:color w:val="000000"/>
                <w:sz w:val="24"/>
                <w:szCs w:val="24"/>
                <w:highlight w:val="none"/>
                <w:vertAlign w:val="subscript"/>
                <w:lang w:val="en-US" w:eastAsia="zh-CN"/>
              </w:rPr>
              <w:t>2</w:t>
            </w:r>
            <w:r>
              <w:rPr>
                <w:rFonts w:hint="eastAsia" w:ascii="Times New Roman" w:hAnsi="Times New Roman" w:cs="Times New Roman"/>
                <w:color w:val="000000"/>
                <w:sz w:val="24"/>
                <w:szCs w:val="24"/>
                <w:highlight w:val="none"/>
                <w:lang w:val="en-US" w:eastAsia="zh-CN"/>
              </w:rPr>
              <w:t>、NO</w:t>
            </w:r>
            <w:r>
              <w:rPr>
                <w:rFonts w:hint="eastAsia" w:ascii="Times New Roman" w:hAnsi="Times New Roman" w:cs="Times New Roman"/>
                <w:color w:val="000000"/>
                <w:sz w:val="24"/>
                <w:szCs w:val="24"/>
                <w:highlight w:val="none"/>
                <w:vertAlign w:val="subscript"/>
                <w:lang w:val="en-US" w:eastAsia="zh-CN"/>
              </w:rPr>
              <w:t>X</w:t>
            </w:r>
          </w:p>
        </w:tc>
        <w:tc>
          <w:tcPr>
            <w:tcW w:w="3427" w:type="dxa"/>
            <w:tcBorders>
              <w:bottom w:val="single" w:color="auto" w:sz="4" w:space="0"/>
            </w:tcBorders>
            <w:noWrap w:val="0"/>
            <w:vAlign w:val="center"/>
          </w:tcPr>
          <w:p>
            <w:pPr>
              <w:spacing w:line="240" w:lineRule="auto"/>
              <w:jc w:val="center"/>
              <w:rPr>
                <w:rFonts w:hint="eastAsia" w:eastAsia="宋体"/>
                <w:sz w:val="24"/>
                <w:highlight w:val="none"/>
                <w:lang w:eastAsia="zh-CN"/>
              </w:rPr>
            </w:pPr>
            <w:r>
              <w:rPr>
                <w:rFonts w:hint="eastAsia" w:eastAsia="宋体"/>
                <w:sz w:val="24"/>
                <w:highlight w:val="none"/>
                <w:lang w:eastAsia="zh-CN"/>
              </w:rPr>
              <w:t>天然气锅炉+低氮燃烧器+</w:t>
            </w:r>
            <w:r>
              <w:rPr>
                <w:rFonts w:hint="eastAsia" w:eastAsia="宋体"/>
                <w:sz w:val="24"/>
                <w:highlight w:val="none"/>
                <w:lang w:val="en-US" w:eastAsia="zh-CN"/>
              </w:rPr>
              <w:t>15</w:t>
            </w:r>
            <w:r>
              <w:rPr>
                <w:rFonts w:hint="eastAsia" w:eastAsia="宋体"/>
                <w:sz w:val="24"/>
                <w:highlight w:val="none"/>
                <w:lang w:eastAsia="zh-CN"/>
              </w:rPr>
              <w:t>m排气筒</w:t>
            </w:r>
          </w:p>
        </w:tc>
        <w:tc>
          <w:tcPr>
            <w:tcW w:w="1724" w:type="dxa"/>
            <w:tcBorders>
              <w:bottom w:val="single" w:color="auto" w:sz="4" w:space="0"/>
            </w:tcBorders>
            <w:noWrap w:val="0"/>
            <w:vAlign w:val="center"/>
          </w:tcPr>
          <w:p>
            <w:pPr>
              <w:spacing w:line="240" w:lineRule="auto"/>
              <w:jc w:val="center"/>
              <w:rPr>
                <w:rFonts w:hint="eastAsia" w:eastAsia="宋体"/>
                <w:sz w:val="24"/>
                <w:highlight w:val="none"/>
                <w:lang w:eastAsia="zh-CN"/>
              </w:rPr>
            </w:pPr>
            <w:r>
              <w:rPr>
                <w:rFonts w:hint="eastAsia" w:ascii="Times New Roman" w:hAnsi="宋体" w:eastAsia="宋体" w:cs="Times New Roman"/>
                <w:sz w:val="24"/>
                <w:szCs w:val="24"/>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jc w:val="center"/>
        </w:trPr>
        <w:tc>
          <w:tcPr>
            <w:tcW w:w="719" w:type="dxa"/>
            <w:noWrap w:val="0"/>
            <w:vAlign w:val="center"/>
          </w:tcPr>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水</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污</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染</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物</w:t>
            </w:r>
          </w:p>
        </w:tc>
        <w:tc>
          <w:tcPr>
            <w:tcW w:w="1630" w:type="dxa"/>
            <w:noWrap w:val="0"/>
            <w:vAlign w:val="center"/>
          </w:tcPr>
          <w:p>
            <w:pPr>
              <w:adjustRightInd w:val="0"/>
              <w:snapToGrid w:val="0"/>
              <w:jc w:val="center"/>
              <w:rPr>
                <w:sz w:val="24"/>
                <w:highlight w:val="none"/>
              </w:rPr>
            </w:pPr>
            <w:r>
              <w:rPr>
                <w:sz w:val="24"/>
                <w:highlight w:val="none"/>
              </w:rPr>
              <w:t>生活</w:t>
            </w:r>
            <w:r>
              <w:rPr>
                <w:rFonts w:hint="eastAsia"/>
                <w:sz w:val="24"/>
                <w:highlight w:val="none"/>
              </w:rPr>
              <w:t>污水</w:t>
            </w:r>
          </w:p>
        </w:tc>
        <w:tc>
          <w:tcPr>
            <w:tcW w:w="1584" w:type="dxa"/>
            <w:noWrap w:val="0"/>
            <w:vAlign w:val="center"/>
          </w:tcPr>
          <w:p>
            <w:pPr>
              <w:adjustRightInd w:val="0"/>
              <w:snapToGrid w:val="0"/>
              <w:jc w:val="center"/>
              <w:rPr>
                <w:rFonts w:hint="eastAsia"/>
                <w:color w:val="000000"/>
                <w:sz w:val="24"/>
                <w:highlight w:val="none"/>
              </w:rPr>
            </w:pPr>
            <w:r>
              <w:rPr>
                <w:color w:val="000000"/>
                <w:sz w:val="24"/>
                <w:highlight w:val="none"/>
              </w:rPr>
              <w:t>COD</w:t>
            </w:r>
            <w:r>
              <w:rPr>
                <w:rFonts w:hint="eastAsia"/>
                <w:color w:val="000000"/>
                <w:sz w:val="24"/>
                <w:highlight w:val="none"/>
                <w:lang w:eastAsia="zh-CN"/>
              </w:rPr>
              <w:t>、</w:t>
            </w:r>
            <w:r>
              <w:rPr>
                <w:color w:val="000000"/>
                <w:sz w:val="24"/>
                <w:highlight w:val="none"/>
              </w:rPr>
              <w:t>SS</w:t>
            </w:r>
            <w:r>
              <w:rPr>
                <w:rFonts w:hint="eastAsia"/>
                <w:color w:val="000000"/>
                <w:sz w:val="24"/>
                <w:highlight w:val="none"/>
                <w:lang w:eastAsia="zh-CN"/>
              </w:rPr>
              <w:t>、</w:t>
            </w:r>
            <w:r>
              <w:rPr>
                <w:color w:val="000000"/>
                <w:sz w:val="24"/>
                <w:highlight w:val="none"/>
              </w:rPr>
              <w:t>NH</w:t>
            </w:r>
            <w:r>
              <w:rPr>
                <w:color w:val="000000"/>
                <w:sz w:val="24"/>
                <w:highlight w:val="none"/>
                <w:vertAlign w:val="subscript"/>
              </w:rPr>
              <w:t>3</w:t>
            </w:r>
            <w:r>
              <w:rPr>
                <w:color w:val="000000"/>
                <w:sz w:val="24"/>
                <w:highlight w:val="none"/>
              </w:rPr>
              <w:t>-N</w:t>
            </w:r>
            <w:r>
              <w:rPr>
                <w:rFonts w:hint="eastAsia"/>
                <w:color w:val="000000"/>
                <w:sz w:val="24"/>
                <w:highlight w:val="none"/>
                <w:lang w:eastAsia="zh-CN"/>
              </w:rPr>
              <w:t>、</w:t>
            </w:r>
            <w:r>
              <w:rPr>
                <w:rFonts w:hint="eastAsia"/>
                <w:color w:val="000000"/>
                <w:sz w:val="24"/>
                <w:highlight w:val="none"/>
              </w:rPr>
              <w:t>总氮</w:t>
            </w:r>
          </w:p>
        </w:tc>
        <w:tc>
          <w:tcPr>
            <w:tcW w:w="3427" w:type="dxa"/>
            <w:tcBorders>
              <w:top w:val="single" w:color="000000" w:sz="4" w:space="0"/>
            </w:tcBorders>
            <w:noWrap w:val="0"/>
            <w:vAlign w:val="center"/>
          </w:tcPr>
          <w:p>
            <w:pPr>
              <w:adjustRightInd w:val="0"/>
              <w:snapToGrid w:val="0"/>
              <w:jc w:val="center"/>
              <w:rPr>
                <w:sz w:val="24"/>
                <w:highlight w:val="none"/>
              </w:rPr>
            </w:pPr>
            <w:r>
              <w:rPr>
                <w:sz w:val="24"/>
                <w:highlight w:val="none"/>
              </w:rPr>
              <w:t>厂区泼洒抑尘</w:t>
            </w:r>
          </w:p>
        </w:tc>
        <w:tc>
          <w:tcPr>
            <w:tcW w:w="1724" w:type="dxa"/>
            <w:noWrap w:val="0"/>
            <w:vAlign w:val="center"/>
          </w:tcPr>
          <w:p>
            <w:pPr>
              <w:adjustRightInd w:val="0"/>
              <w:snapToGrid w:val="0"/>
              <w:jc w:val="center"/>
              <w:rPr>
                <w:sz w:val="24"/>
                <w:highlight w:val="none"/>
              </w:rPr>
            </w:pPr>
            <w:r>
              <w:rPr>
                <w:sz w:val="24"/>
                <w:highlight w:val="none"/>
              </w:rPr>
              <w:t>不外排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719" w:type="dxa"/>
            <w:vMerge w:val="restart"/>
            <w:noWrap w:val="0"/>
            <w:vAlign w:val="center"/>
          </w:tcPr>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固</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体</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废</w:t>
            </w:r>
          </w:p>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物</w:t>
            </w:r>
          </w:p>
        </w:tc>
        <w:tc>
          <w:tcPr>
            <w:tcW w:w="1630" w:type="dxa"/>
            <w:noWrap w:val="0"/>
            <w:vAlign w:val="center"/>
          </w:tcPr>
          <w:p>
            <w:pPr>
              <w:spacing w:line="280" w:lineRule="exact"/>
              <w:jc w:val="center"/>
              <w:rPr>
                <w:rFonts w:hint="eastAsia" w:hAnsi="宋体"/>
                <w:sz w:val="24"/>
                <w:highlight w:val="none"/>
                <w:lang w:eastAsia="zh-CN"/>
              </w:rPr>
            </w:pPr>
            <w:r>
              <w:rPr>
                <w:rFonts w:hint="eastAsia" w:hAnsi="宋体"/>
                <w:sz w:val="24"/>
                <w:highlight w:val="none"/>
                <w:lang w:eastAsia="zh-CN"/>
              </w:rPr>
              <w:t>切割机</w:t>
            </w:r>
          </w:p>
        </w:tc>
        <w:tc>
          <w:tcPr>
            <w:tcW w:w="1584" w:type="dxa"/>
            <w:noWrap w:val="0"/>
            <w:vAlign w:val="center"/>
          </w:tcPr>
          <w:p>
            <w:pPr>
              <w:spacing w:line="400" w:lineRule="exact"/>
              <w:jc w:val="center"/>
              <w:rPr>
                <w:rFonts w:hint="eastAsia" w:eastAsia="宋体"/>
                <w:sz w:val="24"/>
                <w:highlight w:val="none"/>
                <w:lang w:eastAsia="zh-CN"/>
              </w:rPr>
            </w:pPr>
            <w:r>
              <w:rPr>
                <w:rFonts w:hint="eastAsia"/>
                <w:sz w:val="24"/>
                <w:szCs w:val="21"/>
                <w:lang w:eastAsia="zh-CN"/>
              </w:rPr>
              <w:t>废边角料</w:t>
            </w:r>
          </w:p>
        </w:tc>
        <w:tc>
          <w:tcPr>
            <w:tcW w:w="3427" w:type="dxa"/>
            <w:noWrap w:val="0"/>
            <w:vAlign w:val="center"/>
          </w:tcPr>
          <w:p>
            <w:pPr>
              <w:spacing w:line="400" w:lineRule="exact"/>
              <w:jc w:val="center"/>
              <w:rPr>
                <w:rFonts w:hint="eastAsia" w:eastAsia="宋体"/>
                <w:sz w:val="24"/>
                <w:highlight w:val="none"/>
                <w:lang w:eastAsia="zh-CN"/>
              </w:rPr>
            </w:pPr>
            <w:r>
              <w:rPr>
                <w:rFonts w:hint="eastAsia" w:eastAsia="宋体"/>
                <w:sz w:val="24"/>
                <w:highlight w:val="none"/>
                <w:lang w:eastAsia="zh-CN"/>
              </w:rPr>
              <w:t>集中收集后外售</w:t>
            </w:r>
          </w:p>
        </w:tc>
        <w:tc>
          <w:tcPr>
            <w:tcW w:w="1724" w:type="dxa"/>
            <w:noWrap w:val="0"/>
            <w:vAlign w:val="center"/>
          </w:tcPr>
          <w:p>
            <w:pPr>
              <w:spacing w:line="240" w:lineRule="auto"/>
              <w:jc w:val="center"/>
              <w:rPr>
                <w:rFonts w:hint="eastAsia" w:eastAsia="宋体"/>
                <w:sz w:val="24"/>
                <w:highlight w:val="none"/>
                <w:lang w:eastAsia="zh-CN"/>
              </w:rPr>
            </w:pPr>
            <w:r>
              <w:rPr>
                <w:rFonts w:hint="eastAsia" w:ascii="Times New Roman" w:hAnsi="Times New Roman" w:eastAsia="宋体" w:cs="Times New Roman"/>
                <w:spacing w:val="-2"/>
                <w:sz w:val="24"/>
                <w:szCs w:val="24"/>
                <w:lang w:eastAsia="zh-CN"/>
              </w:rPr>
              <w:t>外卖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719" w:type="dxa"/>
            <w:vMerge w:val="continue"/>
            <w:noWrap w:val="0"/>
            <w:vAlign w:val="center"/>
          </w:tcPr>
          <w:p>
            <w:pPr>
              <w:adjustRightInd w:val="0"/>
              <w:snapToGrid w:val="0"/>
              <w:jc w:val="center"/>
              <w:rPr>
                <w:rFonts w:hint="eastAsia" w:ascii="宋体" w:hAnsi="宋体" w:cs="宋体"/>
                <w:bCs/>
                <w:sz w:val="24"/>
                <w:highlight w:val="none"/>
              </w:rPr>
            </w:pPr>
          </w:p>
        </w:tc>
        <w:tc>
          <w:tcPr>
            <w:tcW w:w="1630" w:type="dxa"/>
            <w:noWrap w:val="0"/>
            <w:vAlign w:val="center"/>
          </w:tcPr>
          <w:p>
            <w:pPr>
              <w:spacing w:line="280" w:lineRule="exact"/>
              <w:jc w:val="center"/>
              <w:rPr>
                <w:rFonts w:hint="eastAsia" w:hAnsi="宋体"/>
                <w:sz w:val="24"/>
                <w:highlight w:val="none"/>
                <w:lang w:eastAsia="zh-CN"/>
              </w:rPr>
            </w:pPr>
            <w:r>
              <w:rPr>
                <w:rFonts w:hint="eastAsia" w:hAnsi="宋体"/>
                <w:sz w:val="24"/>
                <w:highlight w:val="none"/>
                <w:lang w:eastAsia="zh-CN"/>
              </w:rPr>
              <w:t>活性炭吸附装置</w:t>
            </w:r>
          </w:p>
        </w:tc>
        <w:tc>
          <w:tcPr>
            <w:tcW w:w="1584" w:type="dxa"/>
            <w:noWrap w:val="0"/>
            <w:vAlign w:val="center"/>
          </w:tcPr>
          <w:p>
            <w:pPr>
              <w:spacing w:line="400" w:lineRule="exact"/>
              <w:jc w:val="center"/>
              <w:rPr>
                <w:rFonts w:hint="eastAsia"/>
                <w:sz w:val="24"/>
                <w:szCs w:val="21"/>
                <w:lang w:eastAsia="zh-CN"/>
              </w:rPr>
            </w:pPr>
            <w:r>
              <w:rPr>
                <w:rFonts w:hint="eastAsia"/>
                <w:sz w:val="24"/>
                <w:szCs w:val="21"/>
                <w:lang w:eastAsia="zh-CN"/>
              </w:rPr>
              <w:t>废活性炭</w:t>
            </w:r>
          </w:p>
        </w:tc>
        <w:tc>
          <w:tcPr>
            <w:tcW w:w="3427" w:type="dxa"/>
            <w:noWrap w:val="0"/>
            <w:vAlign w:val="center"/>
          </w:tcPr>
          <w:p>
            <w:pPr>
              <w:spacing w:line="400" w:lineRule="exact"/>
              <w:jc w:val="center"/>
              <w:rPr>
                <w:rFonts w:hint="eastAsia" w:eastAsia="宋体"/>
                <w:sz w:val="24"/>
                <w:highlight w:val="none"/>
                <w:lang w:eastAsia="zh-CN"/>
              </w:rPr>
            </w:pPr>
            <w:r>
              <w:rPr>
                <w:rFonts w:hint="eastAsia" w:eastAsia="宋体"/>
                <w:sz w:val="24"/>
                <w:highlight w:val="none"/>
                <w:lang w:eastAsia="zh-CN"/>
              </w:rPr>
              <w:t>危废间暂存后交给有资质单位处理</w:t>
            </w:r>
          </w:p>
        </w:tc>
        <w:tc>
          <w:tcPr>
            <w:tcW w:w="1724" w:type="dxa"/>
            <w:noWrap w:val="0"/>
            <w:vAlign w:val="center"/>
          </w:tcPr>
          <w:p>
            <w:pPr>
              <w:spacing w:line="240" w:lineRule="auto"/>
              <w:jc w:val="center"/>
              <w:rPr>
                <w:rFonts w:hint="eastAsia"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不外排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719" w:type="dxa"/>
            <w:vMerge w:val="continue"/>
            <w:noWrap w:val="0"/>
            <w:vAlign w:val="center"/>
          </w:tcPr>
          <w:p>
            <w:pPr>
              <w:adjustRightInd w:val="0"/>
              <w:snapToGrid w:val="0"/>
              <w:jc w:val="center"/>
              <w:rPr>
                <w:rFonts w:hint="eastAsia" w:ascii="宋体" w:hAnsi="宋体" w:cs="宋体"/>
                <w:bCs/>
                <w:sz w:val="24"/>
                <w:highlight w:val="none"/>
              </w:rPr>
            </w:pPr>
          </w:p>
        </w:tc>
        <w:tc>
          <w:tcPr>
            <w:tcW w:w="1630" w:type="dxa"/>
            <w:noWrap w:val="0"/>
            <w:vAlign w:val="center"/>
          </w:tcPr>
          <w:p>
            <w:pPr>
              <w:spacing w:line="280" w:lineRule="exact"/>
              <w:jc w:val="center"/>
              <w:rPr>
                <w:rFonts w:hint="eastAsia" w:hAnsi="宋体"/>
                <w:sz w:val="24"/>
                <w:highlight w:val="none"/>
                <w:lang w:eastAsia="zh-CN"/>
              </w:rPr>
            </w:pPr>
            <w:r>
              <w:rPr>
                <w:sz w:val="24"/>
                <w:szCs w:val="21"/>
              </w:rPr>
              <w:t>职工生活</w:t>
            </w:r>
          </w:p>
        </w:tc>
        <w:tc>
          <w:tcPr>
            <w:tcW w:w="1584" w:type="dxa"/>
            <w:noWrap w:val="0"/>
            <w:vAlign w:val="center"/>
          </w:tcPr>
          <w:p>
            <w:pPr>
              <w:spacing w:line="400" w:lineRule="exact"/>
              <w:jc w:val="center"/>
              <w:rPr>
                <w:rFonts w:hint="eastAsia"/>
                <w:sz w:val="24"/>
                <w:highlight w:val="none"/>
                <w:lang w:eastAsia="zh-CN"/>
              </w:rPr>
            </w:pPr>
            <w:r>
              <w:rPr>
                <w:sz w:val="24"/>
                <w:szCs w:val="21"/>
              </w:rPr>
              <w:t>生活垃圾</w:t>
            </w:r>
          </w:p>
        </w:tc>
        <w:tc>
          <w:tcPr>
            <w:tcW w:w="3427" w:type="dxa"/>
            <w:noWrap w:val="0"/>
            <w:vAlign w:val="center"/>
          </w:tcPr>
          <w:p>
            <w:pPr>
              <w:spacing w:line="40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集中收集后由环卫部门统一处理</w:t>
            </w:r>
          </w:p>
        </w:tc>
        <w:tc>
          <w:tcPr>
            <w:tcW w:w="1724" w:type="dxa"/>
            <w:noWrap w:val="0"/>
            <w:vAlign w:val="center"/>
          </w:tcPr>
          <w:p>
            <w:pPr>
              <w:spacing w:line="240" w:lineRule="auto"/>
              <w:jc w:val="center"/>
              <w:rPr>
                <w:sz w:val="24"/>
                <w:highlight w:val="none"/>
              </w:rPr>
            </w:pPr>
            <w:r>
              <w:rPr>
                <w:rFonts w:hint="eastAsia" w:ascii="Times New Roman" w:hAnsi="Times New Roman" w:eastAsia="宋体" w:cs="Times New Roman"/>
                <w:spacing w:val="-2"/>
                <w:sz w:val="24"/>
                <w:szCs w:val="24"/>
              </w:rPr>
              <w:t>不外排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16" w:hRule="atLeast"/>
          <w:jc w:val="center"/>
        </w:trPr>
        <w:tc>
          <w:tcPr>
            <w:tcW w:w="719" w:type="dxa"/>
            <w:noWrap w:val="0"/>
            <w:vAlign w:val="center"/>
          </w:tcPr>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噪  声</w:t>
            </w:r>
          </w:p>
        </w:tc>
        <w:tc>
          <w:tcPr>
            <w:tcW w:w="8365" w:type="dxa"/>
            <w:gridSpan w:val="4"/>
            <w:noWrap w:val="0"/>
            <w:vAlign w:val="center"/>
          </w:tcPr>
          <w:p>
            <w:pPr>
              <w:adjustRightInd w:val="0"/>
              <w:snapToGrid w:val="0"/>
              <w:jc w:val="center"/>
              <w:rPr>
                <w:sz w:val="24"/>
                <w:highlight w:val="none"/>
              </w:rPr>
            </w:pPr>
            <w:r>
              <w:rPr>
                <w:rFonts w:hint="eastAsia"/>
                <w:sz w:val="24"/>
                <w:highlight w:val="none"/>
              </w:rPr>
              <w:t>生产设备置于封闭车间内，基础加装减震垫，采取上措施后</w:t>
            </w:r>
            <w:r>
              <w:rPr>
                <w:sz w:val="24"/>
                <w:highlight w:val="none"/>
              </w:rPr>
              <w:t>，厂界</w:t>
            </w:r>
            <w:r>
              <w:rPr>
                <w:rFonts w:hint="eastAsia"/>
                <w:sz w:val="24"/>
                <w:highlight w:val="none"/>
                <w:lang w:eastAsia="zh-CN"/>
              </w:rPr>
              <w:t>东、南、北侧</w:t>
            </w:r>
            <w:r>
              <w:rPr>
                <w:sz w:val="24"/>
                <w:highlight w:val="none"/>
              </w:rPr>
              <w:t>噪声满足《工业企业厂界环境噪声排放标准》</w:t>
            </w:r>
            <w:r>
              <w:rPr>
                <w:rFonts w:hint="eastAsia"/>
                <w:sz w:val="24"/>
                <w:highlight w:val="none"/>
                <w:lang w:eastAsia="zh-CN"/>
              </w:rPr>
              <w:t>（</w:t>
            </w:r>
            <w:r>
              <w:rPr>
                <w:sz w:val="24"/>
                <w:highlight w:val="none"/>
              </w:rPr>
              <w:t>GB12348-2008</w:t>
            </w:r>
            <w:r>
              <w:rPr>
                <w:rFonts w:hint="eastAsia"/>
                <w:sz w:val="24"/>
                <w:highlight w:val="none"/>
                <w:lang w:eastAsia="zh-CN"/>
              </w:rPr>
              <w:t>）</w:t>
            </w:r>
            <w:r>
              <w:rPr>
                <w:sz w:val="24"/>
                <w:highlight w:val="none"/>
              </w:rPr>
              <w:t>2类</w:t>
            </w:r>
            <w:r>
              <w:rPr>
                <w:rFonts w:hint="eastAsia"/>
                <w:sz w:val="24"/>
                <w:highlight w:val="none"/>
                <w:lang w:eastAsia="zh-CN"/>
              </w:rPr>
              <w:t>和厂界西侧噪声满足</w:t>
            </w:r>
            <w:r>
              <w:rPr>
                <w:sz w:val="24"/>
                <w:highlight w:val="none"/>
              </w:rPr>
              <w:t>《工业企业厂界环境噪声排放标准》</w:t>
            </w:r>
            <w:r>
              <w:rPr>
                <w:rFonts w:hint="eastAsia"/>
                <w:sz w:val="24"/>
                <w:highlight w:val="none"/>
                <w:lang w:eastAsia="zh-CN"/>
              </w:rPr>
              <w:t>（</w:t>
            </w:r>
            <w:r>
              <w:rPr>
                <w:sz w:val="24"/>
                <w:highlight w:val="none"/>
              </w:rPr>
              <w:t>GB12348-2008</w:t>
            </w:r>
            <w:r>
              <w:rPr>
                <w:rFonts w:hint="eastAsia"/>
                <w:sz w:val="24"/>
                <w:highlight w:val="none"/>
                <w:lang w:eastAsia="zh-CN"/>
              </w:rPr>
              <w:t>）</w:t>
            </w:r>
            <w:r>
              <w:rPr>
                <w:rFonts w:hint="eastAsia"/>
                <w:sz w:val="24"/>
                <w:highlight w:val="none"/>
                <w:lang w:val="en-US" w:eastAsia="zh-CN"/>
              </w:rPr>
              <w:t>4类</w:t>
            </w:r>
            <w:r>
              <w:rPr>
                <w:sz w:val="24"/>
                <w:highlight w:val="none"/>
              </w:rPr>
              <w:t>标准要求。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02" w:hRule="atLeast"/>
          <w:jc w:val="center"/>
        </w:trPr>
        <w:tc>
          <w:tcPr>
            <w:tcW w:w="719" w:type="dxa"/>
            <w:noWrap w:val="0"/>
            <w:vAlign w:val="center"/>
          </w:tcPr>
          <w:p>
            <w:pPr>
              <w:adjustRightInd w:val="0"/>
              <w:snapToGrid w:val="0"/>
              <w:jc w:val="center"/>
              <w:rPr>
                <w:rFonts w:hint="eastAsia" w:ascii="宋体" w:hAnsi="宋体" w:cs="宋体"/>
                <w:bCs/>
                <w:sz w:val="24"/>
                <w:highlight w:val="none"/>
              </w:rPr>
            </w:pPr>
            <w:r>
              <w:rPr>
                <w:rFonts w:hint="eastAsia" w:ascii="宋体" w:hAnsi="宋体" w:cs="宋体"/>
                <w:bCs/>
                <w:sz w:val="24"/>
                <w:highlight w:val="none"/>
              </w:rPr>
              <w:t>其  他</w:t>
            </w:r>
          </w:p>
        </w:tc>
        <w:tc>
          <w:tcPr>
            <w:tcW w:w="8365" w:type="dxa"/>
            <w:gridSpan w:val="4"/>
            <w:noWrap w:val="0"/>
            <w:vAlign w:val="center"/>
          </w:tcPr>
          <w:p>
            <w:pPr>
              <w:adjustRightInd w:val="0"/>
              <w:snapToGrid w:val="0"/>
              <w:jc w:val="center"/>
              <w:rPr>
                <w:sz w:val="22"/>
                <w:szCs w:val="22"/>
                <w:highlight w:val="none"/>
              </w:rPr>
            </w:pPr>
            <w:r>
              <w:rPr>
                <w:sz w:val="22"/>
                <w:szCs w:val="22"/>
                <w:highlight w:val="none"/>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317" w:hRule="atLeast"/>
          <w:jc w:val="center"/>
        </w:trPr>
        <w:tc>
          <w:tcPr>
            <w:tcW w:w="9084" w:type="dxa"/>
            <w:gridSpan w:val="5"/>
            <w:noWrap w:val="0"/>
            <w:vAlign w:val="top"/>
          </w:tcPr>
          <w:p>
            <w:pPr>
              <w:pStyle w:val="94"/>
              <w:spacing w:line="440" w:lineRule="exact"/>
              <w:rPr>
                <w:highlight w:val="none"/>
              </w:rPr>
            </w:pPr>
            <w:r>
              <w:rPr>
                <w:b/>
                <w:bCs/>
                <w:highlight w:val="none"/>
              </w:rPr>
              <w:t>主要生态影响（不够时可附另页）</w:t>
            </w:r>
            <w:r>
              <w:rPr>
                <w:highlight w:val="none"/>
              </w:rPr>
              <w:t>：</w:t>
            </w:r>
          </w:p>
          <w:p>
            <w:pPr>
              <w:spacing w:line="380" w:lineRule="exact"/>
              <w:ind w:firstLine="480" w:firstLineChars="200"/>
              <w:textAlignment w:val="baseline"/>
              <w:rPr>
                <w:rFonts w:hint="eastAsia" w:hAnsi="宋体"/>
                <w:sz w:val="24"/>
                <w:highlight w:val="none"/>
              </w:rPr>
            </w:pPr>
            <w:r>
              <w:rPr>
                <w:rFonts w:hint="eastAsia" w:hAnsi="宋体"/>
                <w:sz w:val="24"/>
                <w:highlight w:val="none"/>
              </w:rPr>
              <w:t>建设项目尽量种植乔木、灌木等吸尘消声效果好的品种，辅以地面硬化措施，既可改善生产条件，也可使景观环境得以改善。</w:t>
            </w:r>
          </w:p>
          <w:p>
            <w:pPr>
              <w:spacing w:line="380" w:lineRule="exact"/>
              <w:ind w:firstLine="480" w:firstLineChars="200"/>
              <w:textAlignment w:val="baseline"/>
              <w:rPr>
                <w:rFonts w:hint="eastAsia" w:hAnsi="宋体"/>
                <w:sz w:val="24"/>
                <w:highlight w:val="none"/>
              </w:rPr>
            </w:pPr>
          </w:p>
          <w:p>
            <w:pPr>
              <w:spacing w:line="380" w:lineRule="exact"/>
              <w:ind w:firstLine="480" w:firstLineChars="200"/>
              <w:textAlignment w:val="baseline"/>
              <w:rPr>
                <w:rFonts w:hint="eastAsia" w:hAnsi="宋体"/>
                <w:sz w:val="24"/>
                <w:highlight w:val="none"/>
              </w:rPr>
            </w:pPr>
          </w:p>
          <w:p>
            <w:pPr>
              <w:spacing w:line="380" w:lineRule="exact"/>
              <w:ind w:firstLine="480" w:firstLineChars="200"/>
              <w:textAlignment w:val="baseline"/>
              <w:rPr>
                <w:rFonts w:hint="eastAsia" w:hAnsi="宋体"/>
                <w:sz w:val="24"/>
                <w:highlight w:val="none"/>
              </w:rPr>
            </w:pPr>
          </w:p>
          <w:p>
            <w:pPr>
              <w:spacing w:line="380" w:lineRule="exact"/>
              <w:ind w:firstLine="480" w:firstLineChars="200"/>
              <w:textAlignment w:val="baseline"/>
              <w:rPr>
                <w:rFonts w:hint="eastAsia" w:hAnsi="宋体"/>
                <w:sz w:val="24"/>
                <w:highlight w:val="none"/>
              </w:rPr>
            </w:pPr>
          </w:p>
          <w:p>
            <w:pPr>
              <w:spacing w:line="380" w:lineRule="exact"/>
              <w:ind w:firstLine="480" w:firstLineChars="200"/>
              <w:textAlignment w:val="baseline"/>
              <w:rPr>
                <w:rFonts w:hint="eastAsia" w:hAnsi="宋体"/>
                <w:sz w:val="24"/>
                <w:highlight w:val="none"/>
              </w:rPr>
            </w:pPr>
          </w:p>
          <w:p>
            <w:pPr>
              <w:spacing w:line="380" w:lineRule="exact"/>
              <w:textAlignment w:val="baseline"/>
              <w:rPr>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088" w:hRule="atLeast"/>
          <w:jc w:val="center"/>
        </w:trPr>
        <w:tc>
          <w:tcPr>
            <w:tcW w:w="9084" w:type="dxa"/>
            <w:gridSpan w:val="5"/>
            <w:noWrap w:val="0"/>
            <w:vAlign w:val="top"/>
          </w:tcPr>
          <w:p>
            <w:pPr>
              <w:keepNext w:val="0"/>
              <w:keepLines w:val="0"/>
              <w:pageBreakBefore w:val="0"/>
              <w:kinsoku/>
              <w:wordWrap/>
              <w:overflowPunct/>
              <w:topLinePunct w:val="0"/>
              <w:bidi w:val="0"/>
              <w:adjustRightInd/>
              <w:snapToGrid/>
              <w:spacing w:line="360" w:lineRule="auto"/>
              <w:jc w:val="center"/>
              <w:outlineLvl w:val="9"/>
              <w:rPr>
                <w:rFonts w:hint="default" w:ascii="Times New Roman" w:hAnsi="Times New Roman" w:cs="Times New Roman"/>
                <w:b/>
                <w:color w:val="000000"/>
                <w:sz w:val="24"/>
                <w:szCs w:val="20"/>
                <w:highlight w:val="none"/>
                <w:lang w:val="zh-CN" w:eastAsia="zh-CN"/>
              </w:rPr>
            </w:pPr>
            <w:r>
              <w:rPr>
                <w:rFonts w:hint="eastAsia" w:ascii="Times New Roman" w:hAnsi="Times New Roman" w:cs="Times New Roman"/>
                <w:b/>
                <w:color w:val="000000"/>
                <w:sz w:val="24"/>
                <w:szCs w:val="20"/>
                <w:highlight w:val="none"/>
              </w:rPr>
              <w:t>表</w:t>
            </w:r>
            <w:r>
              <w:rPr>
                <w:rFonts w:hint="eastAsia" w:ascii="Times New Roman" w:hAnsi="Times New Roman" w:cs="Times New Roman"/>
                <w:b/>
                <w:color w:val="000000"/>
                <w:sz w:val="24"/>
                <w:szCs w:val="20"/>
                <w:highlight w:val="none"/>
                <w:lang w:val="en-US" w:eastAsia="zh-CN"/>
              </w:rPr>
              <w:t>28  建设项目环保设施</w:t>
            </w:r>
            <w:r>
              <w:rPr>
                <w:rFonts w:hint="default" w:ascii="Times New Roman" w:hAnsi="Times New Roman" w:cs="Times New Roman"/>
                <w:b/>
                <w:color w:val="000000"/>
                <w:sz w:val="24"/>
                <w:szCs w:val="20"/>
                <w:highlight w:val="none"/>
                <w:lang w:val="zh-CN" w:eastAsia="zh-CN"/>
              </w:rPr>
              <w:t>“三同时”验收一览表</w:t>
            </w:r>
          </w:p>
          <w:tbl>
            <w:tblPr>
              <w:tblStyle w:val="37"/>
              <w:tblW w:w="886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347"/>
              <w:gridCol w:w="1130"/>
              <w:gridCol w:w="1870"/>
              <w:gridCol w:w="884"/>
              <w:gridCol w:w="419"/>
              <w:gridCol w:w="481"/>
              <w:gridCol w:w="538"/>
              <w:gridCol w:w="1293"/>
              <w:gridCol w:w="1404"/>
              <w:gridCol w:w="5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99" w:hRule="atLeast"/>
                <w:jc w:val="center"/>
              </w:trPr>
              <w:tc>
                <w:tcPr>
                  <w:tcW w:w="1477" w:type="dxa"/>
                  <w:gridSpan w:val="2"/>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污染源</w:t>
                  </w:r>
                </w:p>
              </w:tc>
              <w:tc>
                <w:tcPr>
                  <w:tcW w:w="187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治理设施及措施</w:t>
                  </w:r>
                </w:p>
              </w:tc>
              <w:tc>
                <w:tcPr>
                  <w:tcW w:w="88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治理对象</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数量</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处理能力</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处理效率</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处理效果</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验收标准</w:t>
                  </w:r>
                </w:p>
              </w:tc>
              <w:tc>
                <w:tcPr>
                  <w:tcW w:w="502"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46" w:hRule="atLeast"/>
                <w:jc w:val="center"/>
              </w:trPr>
              <w:tc>
                <w:tcPr>
                  <w:tcW w:w="347"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废气</w:t>
                  </w:r>
                </w:p>
              </w:tc>
              <w:tc>
                <w:tcPr>
                  <w:tcW w:w="1130"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发泡、打板、切割</w:t>
                  </w:r>
                </w:p>
              </w:tc>
              <w:tc>
                <w:tcPr>
                  <w:tcW w:w="1870"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eastAsia" w:eastAsia="宋体"/>
                      <w:sz w:val="21"/>
                      <w:szCs w:val="21"/>
                      <w:highlight w:val="none"/>
                      <w:lang w:eastAsia="zh-CN"/>
                    </w:rPr>
                    <w:t>集气罩</w:t>
                  </w:r>
                  <w:r>
                    <w:rPr>
                      <w:rFonts w:hint="eastAsia" w:eastAsia="宋体"/>
                      <w:sz w:val="21"/>
                      <w:szCs w:val="21"/>
                      <w:highlight w:val="none"/>
                      <w:lang w:val="en-US" w:eastAsia="zh-CN"/>
                    </w:rPr>
                    <w:t>+活性炭吸附+光氧催化设备+15m高排气筒</w:t>
                  </w:r>
                </w:p>
              </w:tc>
              <w:tc>
                <w:tcPr>
                  <w:tcW w:w="88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spacing w:val="6"/>
                      <w:sz w:val="21"/>
                      <w:szCs w:val="21"/>
                      <w:lang w:eastAsia="zh-CN"/>
                    </w:rPr>
                    <w:t>有组织非甲烷总烃</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1" w:type="dxa"/>
                  <w:tcBorders>
                    <w:tl2br w:val="nil"/>
                    <w:tr2bl w:val="nil"/>
                  </w:tcBorders>
                  <w:noWrap w:val="0"/>
                  <w:vAlign w:val="center"/>
                </w:tcPr>
                <w:p>
                  <w:pPr>
                    <w:jc w:val="center"/>
                    <w:rPr>
                      <w:rFonts w:hint="eastAsia"/>
                      <w:lang w:val="en-US" w:eastAsia="zh-CN"/>
                    </w:rPr>
                  </w:pPr>
                </w:p>
                <w:p>
                  <w:pPr>
                    <w:jc w:val="center"/>
                    <w:rPr>
                      <w:rFonts w:hint="eastAsia"/>
                      <w:lang w:val="en-US" w:eastAsia="zh-CN"/>
                    </w:rPr>
                  </w:pPr>
                  <w:r>
                    <w:rPr>
                      <w:rFonts w:hint="eastAsia"/>
                      <w:lang w:val="en-US" w:eastAsia="zh-CN"/>
                    </w:rPr>
                    <w:t>2000m</w:t>
                  </w:r>
                  <w:r>
                    <w:rPr>
                      <w:rFonts w:hint="eastAsia"/>
                      <w:vertAlign w:val="superscript"/>
                      <w:lang w:val="en-US" w:eastAsia="zh-CN"/>
                    </w:rPr>
                    <w:t>3</w:t>
                  </w:r>
                  <w:r>
                    <w:rPr>
                      <w:rFonts w:hint="eastAsia"/>
                      <w:lang w:val="en-US" w:eastAsia="zh-CN"/>
                    </w:rPr>
                    <w:t>/h</w:t>
                  </w:r>
                </w:p>
                <w:p>
                  <w:pPr>
                    <w:pStyle w:val="2"/>
                    <w:rPr>
                      <w:rFonts w:hint="default"/>
                      <w:lang w:val="en-US" w:eastAsia="zh-CN"/>
                    </w:rPr>
                  </w:pP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cs="Times New Roman"/>
                      <w:color w:val="auto"/>
                      <w:sz w:val="21"/>
                      <w:szCs w:val="21"/>
                      <w:vertAlign w:val="baseline"/>
                      <w:lang w:val="en-US" w:eastAsia="zh-CN"/>
                    </w:rPr>
                    <w:t>90%</w:t>
                  </w:r>
                </w:p>
              </w:tc>
              <w:tc>
                <w:tcPr>
                  <w:tcW w:w="1293" w:type="dxa"/>
                  <w:tcBorders>
                    <w:tl2br w:val="nil"/>
                    <w:tr2bl w:val="nil"/>
                  </w:tcBorders>
                  <w:noWrap w:val="0"/>
                  <w:vAlign w:val="center"/>
                </w:tcPr>
                <w:p>
                  <w:pPr>
                    <w:jc w:val="center"/>
                    <w:rPr>
                      <w:rFonts w:hint="default"/>
                      <w:lang w:eastAsia="zh-CN"/>
                    </w:rPr>
                  </w:pPr>
                  <w:r>
                    <w:rPr>
                      <w:rFonts w:hint="eastAsia"/>
                      <w:lang w:val="en-US" w:eastAsia="zh-CN"/>
                    </w:rPr>
                    <w:t>8</w:t>
                  </w:r>
                  <w:r>
                    <w:rPr>
                      <w:rFonts w:hint="default"/>
                      <w:lang w:eastAsia="zh-CN"/>
                    </w:rPr>
                    <w:t>0mg/m</w:t>
                  </w:r>
                  <w:r>
                    <w:rPr>
                      <w:rFonts w:hint="default"/>
                      <w:vertAlign w:val="superscript"/>
                      <w:lang w:eastAsia="zh-CN"/>
                    </w:rPr>
                    <w:t>3</w:t>
                  </w:r>
                </w:p>
                <w:p>
                  <w:pPr>
                    <w:pStyle w:val="2"/>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最低去除效率</w:t>
                  </w:r>
                  <w:r>
                    <w:rPr>
                      <w:rFonts w:hint="eastAsia" w:ascii="Times New Roman" w:cs="Times New Roman"/>
                      <w:color w:val="auto"/>
                      <w:sz w:val="21"/>
                      <w:szCs w:val="21"/>
                      <w:vertAlign w:val="baseline"/>
                      <w:lang w:val="en-US" w:eastAsia="zh-CN"/>
                    </w:rPr>
                    <w:t>90%</w:t>
                  </w:r>
                </w:p>
                <w:p>
                  <w:pPr>
                    <w:pStyle w:val="2"/>
                    <w:jc w:val="center"/>
                    <w:rPr>
                      <w:rFonts w:hint="default"/>
                      <w:lang w:val="en-US" w:eastAsia="zh-CN"/>
                    </w:rPr>
                  </w:pPr>
                  <w:r>
                    <w:rPr>
                      <w:rFonts w:hint="eastAsia" w:ascii="Times New Roman" w:cs="Times New Roman"/>
                      <w:color w:val="auto"/>
                      <w:sz w:val="21"/>
                      <w:szCs w:val="21"/>
                      <w:vertAlign w:val="baseline"/>
                      <w:lang w:val="en-US" w:eastAsia="zh-CN"/>
                    </w:rPr>
                    <w:t>生产车间或生产设备边界大气污染物浓度：4.0mg/m</w:t>
                  </w:r>
                  <w:r>
                    <w:rPr>
                      <w:rFonts w:hint="eastAsia" w:ascii="Times New Roman" w:cs="Times New Roman"/>
                      <w:color w:val="auto"/>
                      <w:sz w:val="21"/>
                      <w:szCs w:val="21"/>
                      <w:vertAlign w:val="superscript"/>
                      <w:lang w:val="en-US" w:eastAsia="zh-CN"/>
                    </w:rPr>
                    <w:t>3</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olor w:val="000000"/>
                      <w:kern w:val="0"/>
                      <w:szCs w:val="21"/>
                      <w:highlight w:val="none"/>
                      <w:u w:val="none" w:color="000000"/>
                      <w:lang w:val="en-US" w:eastAsia="zh-CN"/>
                    </w:rPr>
                    <w:t>《工业企业挥发性有机物排放控制标准》（DB13/2322-2016）表1有机化工业大气污染物排放限值标准，若非甲烷总烃去除效率不满足要求，同时执行表3生产车间或生产设备边界大气污染物浓度限值标准</w:t>
                  </w:r>
                </w:p>
              </w:tc>
              <w:tc>
                <w:tcPr>
                  <w:tcW w:w="502"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46"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tcBorders>
                    <w:tl2br w:val="nil"/>
                    <w:tr2bl w:val="nil"/>
                  </w:tcBorders>
                  <w:noWrap w:val="0"/>
                  <w:vAlign w:val="center"/>
                </w:tcPr>
                <w:p>
                  <w:pPr>
                    <w:spacing w:line="240" w:lineRule="auto"/>
                    <w:jc w:val="center"/>
                    <w:rPr>
                      <w:rFonts w:hint="eastAsia"/>
                      <w:color w:val="000000"/>
                      <w:kern w:val="0"/>
                      <w:szCs w:val="21"/>
                      <w:u w:val="none" w:color="000000"/>
                      <w:lang w:val="en-US" w:eastAsia="zh-CN"/>
                    </w:rPr>
                  </w:pPr>
                  <w:r>
                    <w:rPr>
                      <w:rFonts w:hint="eastAsia"/>
                      <w:color w:val="000000"/>
                      <w:kern w:val="0"/>
                      <w:szCs w:val="21"/>
                      <w:u w:val="none" w:color="000000"/>
                      <w:lang w:val="en-US" w:eastAsia="zh-CN"/>
                    </w:rPr>
                    <w:t>发泡、打板、切割</w:t>
                  </w:r>
                </w:p>
              </w:tc>
              <w:tc>
                <w:tcPr>
                  <w:tcW w:w="1870" w:type="dxa"/>
                  <w:tcBorders>
                    <w:tl2br w:val="nil"/>
                    <w:tr2bl w:val="nil"/>
                  </w:tcBorders>
                  <w:noWrap w:val="0"/>
                  <w:vAlign w:val="center"/>
                </w:tcPr>
                <w:p>
                  <w:pPr>
                    <w:spacing w:line="240" w:lineRule="auto"/>
                    <w:jc w:val="center"/>
                    <w:rPr>
                      <w:rFonts w:hint="eastAsia" w:eastAsia="宋体"/>
                      <w:sz w:val="21"/>
                      <w:szCs w:val="21"/>
                      <w:highlight w:val="none"/>
                      <w:lang w:eastAsia="zh-CN"/>
                    </w:rPr>
                  </w:pPr>
                  <w:r>
                    <w:rPr>
                      <w:rFonts w:hint="eastAsia" w:eastAsia="宋体"/>
                      <w:sz w:val="21"/>
                      <w:szCs w:val="21"/>
                      <w:highlight w:val="none"/>
                      <w:lang w:eastAsia="zh-CN"/>
                    </w:rPr>
                    <w:t>车间密闭</w:t>
                  </w:r>
                </w:p>
              </w:tc>
              <w:tc>
                <w:tcPr>
                  <w:tcW w:w="884" w:type="dxa"/>
                  <w:tcBorders>
                    <w:tl2br w:val="nil"/>
                    <w:tr2bl w:val="nil"/>
                  </w:tcBorders>
                  <w:noWrap w:val="0"/>
                  <w:vAlign w:val="center"/>
                </w:tcPr>
                <w:p>
                  <w:pPr>
                    <w:spacing w:line="240" w:lineRule="auto"/>
                    <w:jc w:val="center"/>
                    <w:rPr>
                      <w:rFonts w:hint="eastAsia" w:ascii="Times New Roman" w:hAnsi="Times New Roman" w:eastAsia="宋体" w:cs="Times New Roman"/>
                      <w:spacing w:val="6"/>
                      <w:sz w:val="21"/>
                      <w:szCs w:val="21"/>
                      <w:lang w:eastAsia="zh-CN"/>
                    </w:rPr>
                  </w:pPr>
                  <w:r>
                    <w:rPr>
                      <w:rFonts w:hint="eastAsia" w:ascii="Times New Roman" w:hAnsi="Times New Roman" w:eastAsia="宋体" w:cs="Times New Roman"/>
                      <w:spacing w:val="6"/>
                      <w:sz w:val="21"/>
                      <w:szCs w:val="21"/>
                      <w:lang w:eastAsia="zh-CN"/>
                    </w:rPr>
                    <w:t>无组织非甲烷总烃</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r>
                    <w:rPr>
                      <w:rFonts w:hint="eastAsia"/>
                      <w:color w:val="000000"/>
                      <w:kern w:val="0"/>
                      <w:szCs w:val="21"/>
                      <w:u w:val="none" w:color="000000"/>
                      <w:lang w:val="en-US" w:eastAsia="zh-CN"/>
                    </w:rPr>
                    <w:t>.0</w:t>
                  </w:r>
                  <w:r>
                    <w:rPr>
                      <w:rFonts w:hint="default" w:ascii="Times New Roman" w:hAnsi="Times New Roman" w:eastAsia="宋体" w:cs="Times New Roman"/>
                      <w:color w:val="auto"/>
                      <w:sz w:val="21"/>
                      <w:szCs w:val="21"/>
                      <w:lang w:eastAsia="zh-CN"/>
                    </w:rPr>
                    <w:t>mg/m</w:t>
                  </w:r>
                  <w:r>
                    <w:rPr>
                      <w:rFonts w:hint="default" w:ascii="Times New Roman" w:hAnsi="Times New Roman" w:eastAsia="宋体" w:cs="Times New Roman"/>
                      <w:color w:val="auto"/>
                      <w:sz w:val="21"/>
                      <w:szCs w:val="21"/>
                      <w:vertAlign w:val="superscript"/>
                      <w:lang w:eastAsia="zh-CN"/>
                    </w:rPr>
                    <w:t>3</w:t>
                  </w:r>
                </w:p>
              </w:tc>
              <w:tc>
                <w:tcPr>
                  <w:tcW w:w="1404" w:type="dxa"/>
                  <w:tcBorders>
                    <w:tl2br w:val="nil"/>
                    <w:tr2bl w:val="nil"/>
                  </w:tcBorders>
                  <w:noWrap w:val="0"/>
                  <w:vAlign w:val="center"/>
                </w:tcPr>
                <w:p>
                  <w:pPr>
                    <w:jc w:val="center"/>
                    <w:rPr>
                      <w:rFonts w:hint="eastAsia"/>
                      <w:color w:val="000000"/>
                      <w:kern w:val="0"/>
                      <w:szCs w:val="21"/>
                      <w:highlight w:val="none"/>
                      <w:u w:val="none" w:color="000000"/>
                      <w:lang w:val="en-US" w:eastAsia="zh-CN"/>
                    </w:rPr>
                  </w:pPr>
                  <w:r>
                    <w:rPr>
                      <w:rFonts w:hint="eastAsia"/>
                      <w:color w:val="000000"/>
                      <w:kern w:val="0"/>
                      <w:szCs w:val="21"/>
                      <w:highlight w:val="none"/>
                      <w:u w:val="none" w:color="000000"/>
                      <w:lang w:val="en-US" w:eastAsia="zh-CN"/>
                    </w:rPr>
                    <w:t>《工业企业挥发性有机物排放控制标准》（DB13/2322-2016）表2其他行业企业边界浓度限值</w:t>
                  </w:r>
                </w:p>
              </w:tc>
              <w:tc>
                <w:tcPr>
                  <w:tcW w:w="502"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355"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tcBorders>
                    <w:tl2br w:val="nil"/>
                    <w:tr2bl w:val="nil"/>
                  </w:tcBorders>
                  <w:noWrap w:val="0"/>
                  <w:vAlign w:val="center"/>
                </w:tcPr>
                <w:p>
                  <w:pPr>
                    <w:spacing w:line="240" w:lineRule="auto"/>
                    <w:jc w:val="center"/>
                    <w:rPr>
                      <w:rFonts w:hint="eastAsia"/>
                      <w:color w:val="000000"/>
                      <w:kern w:val="0"/>
                      <w:szCs w:val="21"/>
                      <w:u w:val="none" w:color="000000"/>
                      <w:lang w:val="en-US" w:eastAsia="zh-CN"/>
                    </w:rPr>
                  </w:pPr>
                  <w:r>
                    <w:rPr>
                      <w:rFonts w:hint="eastAsia"/>
                      <w:color w:val="000000"/>
                      <w:kern w:val="0"/>
                      <w:szCs w:val="21"/>
                      <w:u w:val="none" w:color="000000"/>
                      <w:lang w:val="en-US" w:eastAsia="zh-CN"/>
                    </w:rPr>
                    <w:t>打浆</w:t>
                  </w:r>
                </w:p>
              </w:tc>
              <w:tc>
                <w:tcPr>
                  <w:tcW w:w="1870" w:type="dxa"/>
                  <w:tcBorders>
                    <w:tl2br w:val="nil"/>
                    <w:tr2bl w:val="nil"/>
                  </w:tcBorders>
                  <w:noWrap w:val="0"/>
                  <w:vAlign w:val="center"/>
                </w:tcPr>
                <w:p>
                  <w:pPr>
                    <w:jc w:val="center"/>
                    <w:rPr>
                      <w:rFonts w:hint="eastAsia" w:eastAsia="宋体"/>
                      <w:sz w:val="21"/>
                      <w:szCs w:val="21"/>
                      <w:highlight w:val="none"/>
                      <w:lang w:eastAsia="zh-CN"/>
                    </w:rPr>
                  </w:pPr>
                  <w:r>
                    <w:rPr>
                      <w:rFonts w:hint="default" w:ascii="Times New Roman" w:hAnsi="Times New Roman" w:cs="Times New Roman"/>
                      <w:color w:val="auto"/>
                      <w:sz w:val="21"/>
                      <w:szCs w:val="21"/>
                      <w:lang w:val="en-US" w:eastAsia="zh-CN"/>
                    </w:rPr>
                    <w:t>集气罩+脉冲布袋除尘器+15m高排气筒</w:t>
                  </w:r>
                </w:p>
              </w:tc>
              <w:tc>
                <w:tcPr>
                  <w:tcW w:w="884" w:type="dxa"/>
                  <w:tcBorders>
                    <w:tl2br w:val="nil"/>
                    <w:tr2bl w:val="nil"/>
                  </w:tcBorders>
                  <w:noWrap w:val="0"/>
                  <w:vAlign w:val="center"/>
                </w:tcPr>
                <w:p>
                  <w:pPr>
                    <w:spacing w:line="240" w:lineRule="auto"/>
                    <w:jc w:val="center"/>
                    <w:rPr>
                      <w:rFonts w:hint="eastAsia" w:ascii="Times New Roman" w:hAnsi="Times New Roman" w:eastAsia="宋体" w:cs="Times New Roman"/>
                      <w:spacing w:val="6"/>
                      <w:sz w:val="21"/>
                      <w:szCs w:val="21"/>
                      <w:lang w:eastAsia="zh-CN"/>
                    </w:rPr>
                  </w:pPr>
                  <w:r>
                    <w:rPr>
                      <w:rFonts w:hint="eastAsia" w:ascii="Times New Roman" w:hAnsi="Times New Roman" w:eastAsia="宋体" w:cs="Times New Roman"/>
                      <w:spacing w:val="6"/>
                      <w:sz w:val="21"/>
                      <w:szCs w:val="21"/>
                      <w:lang w:eastAsia="zh-CN"/>
                    </w:rPr>
                    <w:t>有组织颗粒物</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1" w:type="dxa"/>
                  <w:tcBorders>
                    <w:tl2br w:val="nil"/>
                    <w:tr2bl w:val="nil"/>
                  </w:tcBorders>
                  <w:noWrap w:val="0"/>
                  <w:vAlign w:val="center"/>
                </w:tcPr>
                <w:p>
                  <w:pPr>
                    <w:jc w:val="center"/>
                    <w:rPr>
                      <w:rFonts w:hint="eastAsia"/>
                      <w:lang w:val="en-US" w:eastAsia="zh-CN"/>
                    </w:rPr>
                  </w:pPr>
                </w:p>
                <w:p>
                  <w:pPr>
                    <w:jc w:val="center"/>
                    <w:rPr>
                      <w:rFonts w:hint="eastAsia"/>
                      <w:lang w:val="en-US" w:eastAsia="zh-CN"/>
                    </w:rPr>
                  </w:pPr>
                  <w:r>
                    <w:rPr>
                      <w:rFonts w:hint="eastAsia"/>
                      <w:lang w:val="en-US" w:eastAsia="zh-CN"/>
                    </w:rPr>
                    <w:t>4000m</w:t>
                  </w:r>
                  <w:r>
                    <w:rPr>
                      <w:rFonts w:hint="eastAsia"/>
                      <w:vertAlign w:val="superscript"/>
                      <w:lang w:val="en-US" w:eastAsia="zh-CN"/>
                    </w:rPr>
                    <w:t>3</w:t>
                  </w:r>
                  <w:r>
                    <w:rPr>
                      <w:rFonts w:hint="eastAsia"/>
                      <w:lang w:val="en-US" w:eastAsia="zh-CN"/>
                    </w:rPr>
                    <w:t>/h</w:t>
                  </w:r>
                </w:p>
                <w:p>
                  <w:pPr>
                    <w:jc w:val="center"/>
                    <w:rPr>
                      <w:rFonts w:hint="default" w:ascii="Times New Roman" w:hAnsi="Times New Roman" w:eastAsia="宋体" w:cs="Times New Roman"/>
                      <w:color w:val="auto"/>
                      <w:sz w:val="21"/>
                      <w:szCs w:val="21"/>
                      <w:highlight w:val="none"/>
                      <w:lang w:eastAsia="zh-CN"/>
                    </w:rPr>
                  </w:pP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cs="Times New Roman"/>
                      <w:color w:val="auto"/>
                      <w:sz w:val="21"/>
                      <w:szCs w:val="21"/>
                      <w:vertAlign w:val="baseline"/>
                      <w:lang w:val="en-US" w:eastAsia="zh-CN"/>
                    </w:rPr>
                    <w:t>90%</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1404" w:type="dxa"/>
                  <w:tcBorders>
                    <w:tl2br w:val="nil"/>
                    <w:tr2bl w:val="nil"/>
                  </w:tcBorders>
                  <w:noWrap w:val="0"/>
                  <w:vAlign w:val="center"/>
                </w:tcPr>
                <w:p>
                  <w:pPr>
                    <w:adjustRightInd w:val="0"/>
                    <w:spacing w:line="290" w:lineRule="exact"/>
                    <w:jc w:val="center"/>
                    <w:textAlignment w:val="baseline"/>
                    <w:rPr>
                      <w:rFonts w:hint="eastAsia"/>
                      <w:color w:val="000000"/>
                      <w:kern w:val="0"/>
                      <w:szCs w:val="21"/>
                      <w:highlight w:val="none"/>
                      <w:u w:val="none" w:color="000000"/>
                      <w:lang w:val="en-US" w:eastAsia="zh-CN"/>
                    </w:rPr>
                  </w:pPr>
                  <w:r>
                    <w:rPr>
                      <w:rFonts w:hint="eastAsia" w:eastAsia="宋体"/>
                      <w:color w:val="000000"/>
                      <w:kern w:val="0"/>
                      <w:szCs w:val="21"/>
                      <w:highlight w:val="none"/>
                      <w:u w:val="none" w:color="000000"/>
                      <w:lang w:val="en-US" w:eastAsia="zh-CN"/>
                    </w:rPr>
                    <w:t xml:space="preserve">《水泥工业大气污染物排放标准》（DB2167-2015）表1中第Ⅱ时段散装水泥中转站及水泥制品生产排放标准 </w:t>
                  </w:r>
                </w:p>
              </w:tc>
              <w:tc>
                <w:tcPr>
                  <w:tcW w:w="502"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34"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tcBorders>
                    <w:tl2br w:val="nil"/>
                    <w:tr2bl w:val="nil"/>
                  </w:tcBorders>
                  <w:noWrap w:val="0"/>
                  <w:vAlign w:val="center"/>
                </w:tcPr>
                <w:p>
                  <w:pPr>
                    <w:spacing w:line="240" w:lineRule="auto"/>
                    <w:jc w:val="center"/>
                    <w:rPr>
                      <w:rFonts w:hint="eastAsia"/>
                      <w:color w:val="000000"/>
                      <w:kern w:val="0"/>
                      <w:szCs w:val="21"/>
                      <w:u w:val="none" w:color="000000"/>
                      <w:lang w:val="en-US" w:eastAsia="zh-CN"/>
                    </w:rPr>
                  </w:pPr>
                  <w:r>
                    <w:rPr>
                      <w:rFonts w:hint="eastAsia"/>
                      <w:color w:val="000000"/>
                      <w:kern w:val="0"/>
                      <w:szCs w:val="21"/>
                      <w:u w:val="none" w:color="000000"/>
                      <w:lang w:val="en-US" w:eastAsia="zh-CN"/>
                    </w:rPr>
                    <w:t>打浆</w:t>
                  </w:r>
                </w:p>
              </w:tc>
              <w:tc>
                <w:tcPr>
                  <w:tcW w:w="1870" w:type="dxa"/>
                  <w:tcBorders>
                    <w:tl2br w:val="nil"/>
                    <w:tr2bl w:val="nil"/>
                  </w:tcBorders>
                  <w:noWrap w:val="0"/>
                  <w:vAlign w:val="center"/>
                </w:tcPr>
                <w:p>
                  <w:pPr>
                    <w:jc w:val="center"/>
                    <w:rPr>
                      <w:rFonts w:hint="eastAsia" w:eastAsia="宋体"/>
                      <w:sz w:val="21"/>
                      <w:szCs w:val="21"/>
                      <w:highlight w:val="none"/>
                      <w:lang w:eastAsia="zh-CN"/>
                    </w:rPr>
                  </w:pPr>
                  <w:r>
                    <w:rPr>
                      <w:rFonts w:hint="eastAsia" w:ascii="Times New Roman" w:hAnsi="Times New Roman" w:cs="Times New Roman"/>
                      <w:color w:val="auto"/>
                      <w:sz w:val="21"/>
                      <w:szCs w:val="21"/>
                      <w:lang w:val="en-US" w:eastAsia="zh-CN"/>
                    </w:rPr>
                    <w:t>车间密闭</w:t>
                  </w:r>
                </w:p>
              </w:tc>
              <w:tc>
                <w:tcPr>
                  <w:tcW w:w="884" w:type="dxa"/>
                  <w:tcBorders>
                    <w:tl2br w:val="nil"/>
                    <w:tr2bl w:val="nil"/>
                  </w:tcBorders>
                  <w:noWrap w:val="0"/>
                  <w:vAlign w:val="center"/>
                </w:tcPr>
                <w:p>
                  <w:pPr>
                    <w:spacing w:line="240" w:lineRule="auto"/>
                    <w:jc w:val="center"/>
                    <w:rPr>
                      <w:rFonts w:hint="eastAsia" w:ascii="Times New Roman" w:hAnsi="Times New Roman" w:eastAsia="宋体" w:cs="Times New Roman"/>
                      <w:spacing w:val="6"/>
                      <w:sz w:val="21"/>
                      <w:szCs w:val="21"/>
                      <w:lang w:eastAsia="zh-CN"/>
                    </w:rPr>
                  </w:pPr>
                  <w:r>
                    <w:rPr>
                      <w:rFonts w:hint="eastAsia" w:ascii="Times New Roman" w:hAnsi="Times New Roman" w:eastAsia="宋体" w:cs="Times New Roman"/>
                      <w:spacing w:val="6"/>
                      <w:sz w:val="21"/>
                      <w:szCs w:val="21"/>
                      <w:lang w:eastAsia="zh-CN"/>
                    </w:rPr>
                    <w:t>无组织颗粒物</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0.5</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1404" w:type="dxa"/>
                  <w:tcBorders>
                    <w:tl2br w:val="nil"/>
                    <w:tr2bl w:val="nil"/>
                  </w:tcBorders>
                  <w:noWrap w:val="0"/>
                  <w:vAlign w:val="center"/>
                </w:tcPr>
                <w:p>
                  <w:pPr>
                    <w:adjustRightInd w:val="0"/>
                    <w:spacing w:line="290" w:lineRule="exact"/>
                    <w:jc w:val="center"/>
                    <w:textAlignment w:val="baseline"/>
                    <w:rPr>
                      <w:rFonts w:hint="eastAsia"/>
                      <w:color w:val="000000"/>
                      <w:kern w:val="0"/>
                      <w:szCs w:val="21"/>
                      <w:highlight w:val="none"/>
                      <w:u w:val="none" w:color="000000"/>
                      <w:lang w:val="en-US" w:eastAsia="zh-CN"/>
                    </w:rPr>
                  </w:pPr>
                  <w:r>
                    <w:rPr>
                      <w:rFonts w:hint="eastAsia" w:eastAsia="宋体"/>
                      <w:sz w:val="21"/>
                      <w:szCs w:val="21"/>
                      <w:highlight w:val="none"/>
                      <w:lang w:eastAsia="zh-CN"/>
                    </w:rPr>
                    <w:t xml:space="preserve">《水泥工业大气污染物排放标准》（DB2167-2015）表2大气污染物无组织排放监控浓度限值要求 </w:t>
                  </w:r>
                </w:p>
              </w:tc>
              <w:tc>
                <w:tcPr>
                  <w:tcW w:w="502"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spacing w:val="6"/>
                      <w:sz w:val="21"/>
                      <w:szCs w:val="21"/>
                      <w:lang w:eastAsia="zh-CN"/>
                    </w:rPr>
                    <w:t>燃气锅炉</w:t>
                  </w:r>
                </w:p>
              </w:tc>
              <w:tc>
                <w:tcPr>
                  <w:tcW w:w="1870" w:type="dxa"/>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天然气锅炉+低氮燃烧器+15m排气筒</w:t>
                  </w:r>
                </w:p>
              </w:tc>
              <w:tc>
                <w:tcPr>
                  <w:tcW w:w="88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000000"/>
                      <w:sz w:val="21"/>
                      <w:szCs w:val="21"/>
                      <w:highlight w:val="none"/>
                      <w:lang w:eastAsia="zh-CN"/>
                    </w:rPr>
                    <w:t>颗粒物</w:t>
                  </w:r>
                </w:p>
              </w:tc>
              <w:tc>
                <w:tcPr>
                  <w:tcW w:w="419"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1"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538"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293" w:type="dxa"/>
                  <w:tcBorders>
                    <w:tl2br w:val="nil"/>
                    <w:tr2bl w:val="nil"/>
                  </w:tcBorders>
                  <w:noWrap w:val="0"/>
                  <w:vAlign w:val="center"/>
                </w:tcPr>
                <w:p>
                  <w:pPr>
                    <w:adjustRightInd w:val="0"/>
                    <w:spacing w:line="290" w:lineRule="exact"/>
                    <w:jc w:val="center"/>
                    <w:textAlignment w:val="baseline"/>
                    <w:rPr>
                      <w:rFonts w:hint="default" w:ascii="Times New Roman" w:hAnsi="Times New Roman" w:eastAsia="宋体" w:cs="Times New Roman"/>
                      <w:color w:val="auto"/>
                      <w:sz w:val="21"/>
                      <w:szCs w:val="21"/>
                      <w:lang w:eastAsia="zh-CN"/>
                    </w:rPr>
                  </w:pPr>
                  <w:r>
                    <w:rPr>
                      <w:rFonts w:hint="eastAsia"/>
                      <w:kern w:val="0"/>
                      <w:szCs w:val="21"/>
                    </w:rPr>
                    <w:t>20</w:t>
                  </w:r>
                  <w:r>
                    <w:rPr>
                      <w:kern w:val="0"/>
                      <w:szCs w:val="21"/>
                    </w:rPr>
                    <w:t>mg/m</w:t>
                  </w:r>
                  <w:r>
                    <w:rPr>
                      <w:kern w:val="0"/>
                      <w:szCs w:val="21"/>
                      <w:vertAlign w:val="superscript"/>
                    </w:rPr>
                    <w:t>3</w:t>
                  </w:r>
                </w:p>
              </w:tc>
              <w:tc>
                <w:tcPr>
                  <w:tcW w:w="1404"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kern w:val="0"/>
                      <w:szCs w:val="21"/>
                    </w:rPr>
                    <w:t>《锅炉大气污染物排放标准》（GB13271-2014）表3中大气污染物特别排放限值</w:t>
                  </w:r>
                </w:p>
              </w:tc>
              <w:tc>
                <w:tcPr>
                  <w:tcW w:w="502"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724" w:hRule="atLeast"/>
                <w:jc w:val="center"/>
              </w:trPr>
              <w:tc>
                <w:tcPr>
                  <w:tcW w:w="347" w:type="dxa"/>
                  <w:vMerge w:val="continue"/>
                  <w:tcBorders>
                    <w:tl2br w:val="nil"/>
                    <w:tr2bl w:val="nil"/>
                  </w:tcBorders>
                  <w:noWrap w:val="0"/>
                  <w:vAlign w:val="center"/>
                </w:tcPr>
                <w:p>
                  <w:pPr>
                    <w:spacing w:line="240" w:lineRule="auto"/>
                    <w:jc w:val="center"/>
                  </w:pPr>
                </w:p>
              </w:tc>
              <w:tc>
                <w:tcPr>
                  <w:tcW w:w="1130" w:type="dxa"/>
                  <w:vMerge w:val="continue"/>
                  <w:tcBorders>
                    <w:tl2br w:val="nil"/>
                    <w:tr2bl w:val="nil"/>
                  </w:tcBorders>
                  <w:noWrap w:val="0"/>
                  <w:vAlign w:val="center"/>
                </w:tcPr>
                <w:p>
                  <w:pPr>
                    <w:spacing w:line="240" w:lineRule="auto"/>
                    <w:jc w:val="center"/>
                  </w:pPr>
                </w:p>
              </w:tc>
              <w:tc>
                <w:tcPr>
                  <w:tcW w:w="1870" w:type="dxa"/>
                  <w:vMerge w:val="continue"/>
                  <w:tcBorders>
                    <w:tl2br w:val="nil"/>
                    <w:tr2bl w:val="nil"/>
                  </w:tcBorders>
                  <w:noWrap w:val="0"/>
                  <w:vAlign w:val="center"/>
                </w:tcPr>
                <w:p>
                  <w:pPr>
                    <w:spacing w:line="240" w:lineRule="auto"/>
                    <w:jc w:val="center"/>
                  </w:pPr>
                </w:p>
              </w:tc>
              <w:tc>
                <w:tcPr>
                  <w:tcW w:w="884" w:type="dxa"/>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val="en-US" w:eastAsia="zh-CN"/>
                    </w:rPr>
                    <w:t>SO</w:t>
                  </w:r>
                  <w:r>
                    <w:rPr>
                      <w:rFonts w:hint="eastAsia" w:ascii="Times New Roman" w:hAnsi="Times New Roman" w:cs="Times New Roman"/>
                      <w:color w:val="000000"/>
                      <w:sz w:val="21"/>
                      <w:szCs w:val="21"/>
                      <w:highlight w:val="none"/>
                      <w:vertAlign w:val="subscript"/>
                      <w:lang w:val="en-US" w:eastAsia="zh-CN"/>
                    </w:rPr>
                    <w:t>2</w:t>
                  </w:r>
                </w:p>
              </w:tc>
              <w:tc>
                <w:tcPr>
                  <w:tcW w:w="419"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481"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538"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1293" w:type="dxa"/>
                  <w:tcBorders>
                    <w:tl2br w:val="nil"/>
                    <w:tr2bl w:val="nil"/>
                  </w:tcBorders>
                  <w:noWrap w:val="0"/>
                  <w:vAlign w:val="center"/>
                </w:tcPr>
                <w:p>
                  <w:pPr>
                    <w:adjustRightInd w:val="0"/>
                    <w:spacing w:line="290" w:lineRule="exact"/>
                    <w:jc w:val="center"/>
                    <w:textAlignment w:val="baseline"/>
                    <w:rPr>
                      <w:rFonts w:hint="eastAsia" w:ascii="Times New Roman" w:hAnsi="Times New Roman" w:cs="Times New Roman"/>
                      <w:color w:val="000000"/>
                      <w:sz w:val="21"/>
                      <w:szCs w:val="21"/>
                      <w:highlight w:val="none"/>
                      <w:lang w:eastAsia="zh-CN"/>
                    </w:rPr>
                  </w:pPr>
                  <w:r>
                    <w:rPr>
                      <w:rFonts w:hint="eastAsia"/>
                      <w:kern w:val="0"/>
                      <w:szCs w:val="21"/>
                    </w:rPr>
                    <w:t>50</w:t>
                  </w:r>
                  <w:r>
                    <w:rPr>
                      <w:kern w:val="0"/>
                      <w:szCs w:val="21"/>
                    </w:rPr>
                    <w:t>mg/m</w:t>
                  </w:r>
                  <w:r>
                    <w:rPr>
                      <w:kern w:val="0"/>
                      <w:szCs w:val="21"/>
                      <w:vertAlign w:val="superscript"/>
                    </w:rPr>
                    <w:t>3</w:t>
                  </w:r>
                </w:p>
              </w:tc>
              <w:tc>
                <w:tcPr>
                  <w:tcW w:w="1404"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502"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39" w:hRule="atLeast"/>
                <w:jc w:val="center"/>
              </w:trPr>
              <w:tc>
                <w:tcPr>
                  <w:tcW w:w="347"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1130"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1870"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884" w:type="dxa"/>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val="en-US" w:eastAsia="zh-CN"/>
                    </w:rPr>
                    <w:t>NO</w:t>
                  </w:r>
                  <w:r>
                    <w:rPr>
                      <w:rFonts w:hint="eastAsia" w:ascii="Times New Roman" w:hAnsi="Times New Roman" w:cs="Times New Roman"/>
                      <w:color w:val="000000"/>
                      <w:sz w:val="21"/>
                      <w:szCs w:val="21"/>
                      <w:highlight w:val="none"/>
                      <w:vertAlign w:val="subscript"/>
                      <w:lang w:val="en-US" w:eastAsia="zh-CN"/>
                    </w:rPr>
                    <w:t>X</w:t>
                  </w:r>
                </w:p>
              </w:tc>
              <w:tc>
                <w:tcPr>
                  <w:tcW w:w="419"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481"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538"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1293" w:type="dxa"/>
                  <w:tcBorders>
                    <w:tl2br w:val="nil"/>
                    <w:tr2bl w:val="nil"/>
                  </w:tcBorders>
                  <w:noWrap w:val="0"/>
                  <w:vAlign w:val="center"/>
                </w:tcPr>
                <w:p>
                  <w:pPr>
                    <w:adjustRightInd w:val="0"/>
                    <w:spacing w:line="290" w:lineRule="exact"/>
                    <w:jc w:val="center"/>
                    <w:textAlignment w:val="baseline"/>
                    <w:rPr>
                      <w:rFonts w:hint="eastAsia" w:ascii="Times New Roman" w:hAnsi="Times New Roman" w:cs="Times New Roman"/>
                      <w:color w:val="000000"/>
                      <w:sz w:val="21"/>
                      <w:szCs w:val="21"/>
                      <w:highlight w:val="none"/>
                      <w:lang w:eastAsia="zh-CN"/>
                    </w:rPr>
                  </w:pPr>
                  <w:r>
                    <w:rPr>
                      <w:rFonts w:hint="eastAsia"/>
                      <w:kern w:val="0"/>
                      <w:szCs w:val="21"/>
                    </w:rPr>
                    <w:t>150</w:t>
                  </w:r>
                  <w:r>
                    <w:rPr>
                      <w:kern w:val="0"/>
                      <w:szCs w:val="21"/>
                    </w:rPr>
                    <w:t>mg/m</w:t>
                  </w:r>
                  <w:r>
                    <w:rPr>
                      <w:kern w:val="0"/>
                      <w:szCs w:val="21"/>
                      <w:vertAlign w:val="superscript"/>
                    </w:rPr>
                    <w:t>3</w:t>
                  </w:r>
                </w:p>
              </w:tc>
              <w:tc>
                <w:tcPr>
                  <w:tcW w:w="1404"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c>
                <w:tcPr>
                  <w:tcW w:w="502" w:type="dxa"/>
                  <w:vMerge w:val="continue"/>
                  <w:tcBorders>
                    <w:tl2br w:val="nil"/>
                    <w:tr2bl w:val="nil"/>
                  </w:tcBorders>
                  <w:noWrap w:val="0"/>
                  <w:vAlign w:val="center"/>
                </w:tcPr>
                <w:p>
                  <w:pPr>
                    <w:spacing w:line="240" w:lineRule="auto"/>
                    <w:jc w:val="center"/>
                    <w:rPr>
                      <w:rFonts w:hint="eastAsia" w:ascii="Times New Roman" w:hAnsi="Times New Roman" w:cs="Times New Roman"/>
                      <w:color w:val="00000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69" w:hRule="atLeast"/>
                <w:jc w:val="center"/>
              </w:trPr>
              <w:tc>
                <w:tcPr>
                  <w:tcW w:w="347"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废水</w:t>
                  </w:r>
                </w:p>
              </w:tc>
              <w:tc>
                <w:tcPr>
                  <w:tcW w:w="113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sz w:val="21"/>
                      <w:szCs w:val="21"/>
                      <w:highlight w:val="none"/>
                    </w:rPr>
                    <w:t>生活</w:t>
                  </w:r>
                  <w:r>
                    <w:rPr>
                      <w:rFonts w:hint="eastAsia"/>
                      <w:sz w:val="21"/>
                      <w:szCs w:val="21"/>
                      <w:highlight w:val="none"/>
                    </w:rPr>
                    <w:t>污水</w:t>
                  </w:r>
                </w:p>
              </w:tc>
              <w:tc>
                <w:tcPr>
                  <w:tcW w:w="187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厂区泼洒抑尘</w:t>
                  </w:r>
                </w:p>
              </w:tc>
              <w:tc>
                <w:tcPr>
                  <w:tcW w:w="88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color w:val="000000"/>
                      <w:sz w:val="21"/>
                      <w:szCs w:val="21"/>
                      <w:highlight w:val="none"/>
                    </w:rPr>
                    <w:t>COD</w:t>
                  </w:r>
                  <w:r>
                    <w:rPr>
                      <w:rFonts w:hint="eastAsia"/>
                      <w:color w:val="000000"/>
                      <w:sz w:val="21"/>
                      <w:szCs w:val="21"/>
                      <w:highlight w:val="none"/>
                      <w:lang w:eastAsia="zh-CN"/>
                    </w:rPr>
                    <w:t>、</w:t>
                  </w:r>
                  <w:r>
                    <w:rPr>
                      <w:color w:val="000000"/>
                      <w:sz w:val="21"/>
                      <w:szCs w:val="21"/>
                      <w:highlight w:val="none"/>
                    </w:rPr>
                    <w:t>SS</w:t>
                  </w:r>
                  <w:r>
                    <w:rPr>
                      <w:rFonts w:hint="eastAsia"/>
                      <w:color w:val="000000"/>
                      <w:sz w:val="21"/>
                      <w:szCs w:val="21"/>
                      <w:highlight w:val="none"/>
                      <w:lang w:eastAsia="zh-CN"/>
                    </w:rPr>
                    <w:t>、</w:t>
                  </w:r>
                  <w:r>
                    <w:rPr>
                      <w:color w:val="000000"/>
                      <w:sz w:val="21"/>
                      <w:szCs w:val="21"/>
                      <w:highlight w:val="none"/>
                    </w:rPr>
                    <w:t>NH</w:t>
                  </w:r>
                  <w:r>
                    <w:rPr>
                      <w:color w:val="000000"/>
                      <w:sz w:val="21"/>
                      <w:szCs w:val="21"/>
                      <w:highlight w:val="none"/>
                      <w:vertAlign w:val="subscript"/>
                    </w:rPr>
                    <w:t>3</w:t>
                  </w:r>
                  <w:r>
                    <w:rPr>
                      <w:color w:val="000000"/>
                      <w:sz w:val="21"/>
                      <w:szCs w:val="21"/>
                      <w:highlight w:val="none"/>
                    </w:rPr>
                    <w:t>-N</w:t>
                  </w:r>
                  <w:r>
                    <w:rPr>
                      <w:rFonts w:hint="eastAsia"/>
                      <w:color w:val="000000"/>
                      <w:sz w:val="21"/>
                      <w:szCs w:val="21"/>
                      <w:highlight w:val="none"/>
                      <w:lang w:eastAsia="zh-CN"/>
                    </w:rPr>
                    <w:t>、</w:t>
                  </w:r>
                  <w:r>
                    <w:rPr>
                      <w:rFonts w:hint="eastAsia"/>
                      <w:color w:val="000000"/>
                      <w:sz w:val="21"/>
                      <w:szCs w:val="21"/>
                      <w:highlight w:val="none"/>
                    </w:rPr>
                    <w:t>总氮</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不外排</w:t>
                  </w:r>
                </w:p>
              </w:tc>
              <w:tc>
                <w:tcPr>
                  <w:tcW w:w="50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979" w:hRule="atLeast"/>
                <w:jc w:val="center"/>
              </w:trPr>
              <w:tc>
                <w:tcPr>
                  <w:tcW w:w="347"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噪声</w:t>
                  </w:r>
                </w:p>
              </w:tc>
              <w:tc>
                <w:tcPr>
                  <w:tcW w:w="113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机械设备</w:t>
                  </w:r>
                </w:p>
              </w:tc>
              <w:tc>
                <w:tcPr>
                  <w:tcW w:w="187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产噪设备均置于封闭的加工车间内，设备基础加装减震垫</w:t>
                  </w:r>
                </w:p>
              </w:tc>
              <w:tc>
                <w:tcPr>
                  <w:tcW w:w="88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噪声</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综合降噪</w:t>
                  </w:r>
                  <w:r>
                    <w:rPr>
                      <w:rFonts w:hint="eastAsia" w:ascii="Times New Roman" w:hAnsi="Times New Roman" w:eastAsia="宋体" w:cs="Times New Roman"/>
                      <w:color w:val="auto"/>
                      <w:sz w:val="21"/>
                      <w:szCs w:val="21"/>
                      <w:lang w:val="en-US" w:eastAsia="zh-CN"/>
                    </w:rPr>
                    <w:t>30</w:t>
                  </w:r>
                  <w:r>
                    <w:rPr>
                      <w:rFonts w:hint="default" w:ascii="Times New Roman" w:hAnsi="Times New Roman" w:eastAsia="宋体" w:cs="Times New Roman"/>
                      <w:color w:val="auto"/>
                      <w:sz w:val="21"/>
                      <w:szCs w:val="21"/>
                      <w:lang w:eastAsia="zh-CN"/>
                    </w:rPr>
                    <w:t>dB（A）</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东、南、北</w:t>
                  </w:r>
                  <w:r>
                    <w:rPr>
                      <w:rFonts w:hint="default" w:ascii="Times New Roman" w:hAnsi="Times New Roman" w:eastAsia="宋体" w:cs="Times New Roman"/>
                      <w:color w:val="auto"/>
                      <w:sz w:val="21"/>
                      <w:szCs w:val="21"/>
                      <w:lang w:eastAsia="zh-CN"/>
                    </w:rPr>
                    <w:t>厂界噪声昼间贡献值≤60dB（A）</w:t>
                  </w:r>
                  <w:r>
                    <w:rPr>
                      <w:rFonts w:hint="eastAsia" w:ascii="Times New Roman" w:hAnsi="Times New Roman" w:eastAsia="宋体" w:cs="Times New Roman"/>
                      <w:color w:val="auto"/>
                      <w:sz w:val="21"/>
                      <w:szCs w:val="21"/>
                      <w:lang w:eastAsia="zh-CN"/>
                    </w:rPr>
                    <w:t>；西</w:t>
                  </w:r>
                  <w:r>
                    <w:rPr>
                      <w:rFonts w:hint="default" w:ascii="Times New Roman" w:hAnsi="Times New Roman" w:eastAsia="宋体" w:cs="Times New Roman"/>
                      <w:color w:val="auto"/>
                      <w:sz w:val="21"/>
                      <w:szCs w:val="21"/>
                      <w:lang w:eastAsia="zh-CN"/>
                    </w:rPr>
                    <w:t>厂界噪声昼间贡献值≤</w:t>
                  </w:r>
                  <w:r>
                    <w:rPr>
                      <w:rFonts w:hint="eastAsia"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lang w:eastAsia="zh-CN"/>
                    </w:rPr>
                    <w:t>0dB（A）</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《工业企业厂界环境噪声排放标准》（GB12348-2008）2类</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4类</w:t>
                  </w:r>
                  <w:r>
                    <w:rPr>
                      <w:rFonts w:hint="default" w:ascii="Times New Roman" w:hAnsi="Times New Roman" w:eastAsia="宋体" w:cs="Times New Roman"/>
                      <w:color w:val="auto"/>
                      <w:sz w:val="21"/>
                      <w:szCs w:val="21"/>
                      <w:lang w:eastAsia="zh-CN"/>
                    </w:rPr>
                    <w:t>标准</w:t>
                  </w:r>
                </w:p>
              </w:tc>
              <w:tc>
                <w:tcPr>
                  <w:tcW w:w="50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81" w:hRule="atLeast"/>
                <w:jc w:val="center"/>
              </w:trPr>
              <w:tc>
                <w:tcPr>
                  <w:tcW w:w="347"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固废</w:t>
                  </w:r>
                </w:p>
              </w:tc>
              <w:tc>
                <w:tcPr>
                  <w:tcW w:w="113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切割机</w:t>
                  </w:r>
                </w:p>
              </w:tc>
              <w:tc>
                <w:tcPr>
                  <w:tcW w:w="187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集中收集后外售</w:t>
                  </w:r>
                </w:p>
              </w:tc>
              <w:tc>
                <w:tcPr>
                  <w:tcW w:w="88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废边角料</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外卖</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《一般工业固体废物贮存、处置物污染控制标准》（GB18599-2001）及其修改单要求</w:t>
                  </w:r>
                </w:p>
              </w:tc>
              <w:tc>
                <w:tcPr>
                  <w:tcW w:w="502"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681"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活性炭吸附装置</w:t>
                  </w:r>
                </w:p>
              </w:tc>
              <w:tc>
                <w:tcPr>
                  <w:tcW w:w="1870" w:type="dxa"/>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szCs w:val="21"/>
                      <w:highlight w:val="none"/>
                      <w:lang w:eastAsia="zh-CN"/>
                    </w:rPr>
                    <w:t>暂存于危废间后交给有资质单位处理</w:t>
                  </w:r>
                </w:p>
              </w:tc>
              <w:tc>
                <w:tcPr>
                  <w:tcW w:w="884" w:type="dxa"/>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废活性炭</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合理处置</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《危险废物贮存污染控制标准》（GB18597-2001）及2013修改单修改单</w:t>
                  </w:r>
                </w:p>
              </w:tc>
              <w:tc>
                <w:tcPr>
                  <w:tcW w:w="502" w:type="dxa"/>
                  <w:vMerge w:val="continue"/>
                  <w:tcBorders>
                    <w:tl2br w:val="nil"/>
                    <w:tr2bl w:val="nil"/>
                  </w:tcBorders>
                  <w:noWrap w:val="0"/>
                  <w:vAlign w:val="center"/>
                </w:tcPr>
                <w:p>
                  <w:pPr>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4" w:hRule="atLeast"/>
                <w:jc w:val="center"/>
              </w:trPr>
              <w:tc>
                <w:tcPr>
                  <w:tcW w:w="34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p>
              </w:tc>
              <w:tc>
                <w:tcPr>
                  <w:tcW w:w="113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职工生活</w:t>
                  </w:r>
                </w:p>
              </w:tc>
              <w:tc>
                <w:tcPr>
                  <w:tcW w:w="1870"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集中收集后由环卫部门统一处理</w:t>
                  </w:r>
                </w:p>
              </w:tc>
              <w:tc>
                <w:tcPr>
                  <w:tcW w:w="88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生活垃圾</w:t>
                  </w:r>
                </w:p>
              </w:tc>
              <w:tc>
                <w:tcPr>
                  <w:tcW w:w="41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81"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38"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293"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合理处置</w:t>
                  </w:r>
                </w:p>
              </w:tc>
              <w:tc>
                <w:tcPr>
                  <w:tcW w:w="1404" w:type="dxa"/>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《中华人民共和国固体废物污染环境防治法》（2016年修正）第三章第三节生活垃圾污染环境的防治规定</w:t>
                  </w:r>
                </w:p>
              </w:tc>
              <w:tc>
                <w:tcPr>
                  <w:tcW w:w="502"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4" w:hRule="atLeast"/>
                <w:jc w:val="center"/>
              </w:trPr>
              <w:tc>
                <w:tcPr>
                  <w:tcW w:w="1477" w:type="dxa"/>
                  <w:gridSpan w:val="2"/>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防渗</w:t>
                  </w:r>
                </w:p>
              </w:tc>
              <w:tc>
                <w:tcPr>
                  <w:tcW w:w="6889" w:type="dxa"/>
                  <w:gridSpan w:val="7"/>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lang w:eastAsia="zh-CN"/>
                    </w:rPr>
                    <w:t>危废存储间</w:t>
                  </w:r>
                  <w:r>
                    <w:rPr>
                      <w:rFonts w:hint="eastAsia" w:ascii="Times New Roman" w:hAnsi="Times New Roman" w:cs="Times New Roman"/>
                      <w:lang w:val="en-US" w:eastAsia="zh-CN"/>
                    </w:rPr>
                    <w:t>5</w:t>
                  </w:r>
                  <w:r>
                    <w:rPr>
                      <w:rFonts w:hint="default" w:ascii="Times New Roman" w:hAnsi="Times New Roman" w:cs="Times New Roman"/>
                      <w:lang w:eastAsia="zh-CN"/>
                    </w:rPr>
                    <w:t>m</w:t>
                  </w:r>
                  <w:r>
                    <w:rPr>
                      <w:rFonts w:hint="default" w:ascii="Times New Roman" w:hAnsi="Times New Roman" w:cs="Times New Roman"/>
                      <w:vertAlign w:val="superscript"/>
                      <w:lang w:eastAsia="zh-CN"/>
                    </w:rPr>
                    <w:t>2</w:t>
                  </w:r>
                  <w:r>
                    <w:rPr>
                      <w:rFonts w:hint="default" w:ascii="Times New Roman" w:hAnsi="Times New Roman" w:cs="Times New Roman"/>
                      <w:lang w:eastAsia="zh-CN"/>
                    </w:rPr>
                    <w:t>，</w:t>
                  </w:r>
                  <w:r>
                    <w:rPr>
                      <w:rFonts w:hint="default" w:ascii="Times New Roman" w:hAnsi="Times New Roman" w:cs="Times New Roman"/>
                      <w:highlight w:val="none"/>
                      <w:lang w:eastAsia="zh-CN"/>
                    </w:rPr>
                    <w:t>位于</w:t>
                  </w:r>
                  <w:r>
                    <w:rPr>
                      <w:rFonts w:hint="eastAsia" w:ascii="Times New Roman" w:hAnsi="Times New Roman" w:cs="Times New Roman"/>
                      <w:highlight w:val="none"/>
                      <w:lang w:eastAsia="zh-CN"/>
                    </w:rPr>
                    <w:t>库房东侧</w:t>
                  </w:r>
                  <w:r>
                    <w:rPr>
                      <w:rFonts w:hint="default" w:ascii="Times New Roman" w:hAnsi="Times New Roman" w:cs="Times New Roman"/>
                      <w:highlight w:val="none"/>
                      <w:lang w:eastAsia="zh-CN"/>
                    </w:rPr>
                    <w:t>，彩钢</w:t>
                  </w:r>
                  <w:r>
                    <w:rPr>
                      <w:rFonts w:hint="default" w:ascii="Times New Roman" w:hAnsi="Times New Roman" w:cs="Times New Roman"/>
                      <w:lang w:eastAsia="zh-CN"/>
                    </w:rPr>
                    <w:t>结构；并设立危险废物标识，将</w:t>
                  </w:r>
                  <w:r>
                    <w:rPr>
                      <w:rFonts w:hint="eastAsia" w:ascii="Times New Roman" w:hAnsi="Times New Roman" w:cs="Times New Roman"/>
                      <w:lang w:eastAsia="zh-CN"/>
                    </w:rPr>
                    <w:t>废活性炭</w:t>
                  </w:r>
                  <w:r>
                    <w:rPr>
                      <w:rFonts w:hint="default" w:ascii="Times New Roman" w:hAnsi="Times New Roman" w:cs="Times New Roman"/>
                      <w:lang w:eastAsia="zh-CN"/>
                    </w:rPr>
                    <w:t>用耐腐蚀容器收集，必须贴有危废标签，存储危险废物的车间地面做防渗处理，底层采用10cm防渗混凝土，表层2mm厚高密度聚乙烯或其他人工材料的防渗层，以保证渗透系数≤10</w:t>
                  </w:r>
                  <w:r>
                    <w:rPr>
                      <w:rFonts w:hint="default" w:ascii="Times New Roman" w:hAnsi="Times New Roman" w:cs="Times New Roman"/>
                      <w:vertAlign w:val="superscript"/>
                      <w:lang w:eastAsia="zh-CN"/>
                    </w:rPr>
                    <w:t>-10</w:t>
                  </w:r>
                  <w:r>
                    <w:rPr>
                      <w:rFonts w:hint="default" w:ascii="Times New Roman" w:hAnsi="Times New Roman" w:cs="Times New Roman"/>
                      <w:lang w:eastAsia="zh-CN"/>
                    </w:rPr>
                    <w:t>cm/s</w:t>
                  </w:r>
                </w:p>
              </w:tc>
              <w:tc>
                <w:tcPr>
                  <w:tcW w:w="50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6" w:hRule="atLeast"/>
                <w:jc w:val="center"/>
              </w:trPr>
              <w:tc>
                <w:tcPr>
                  <w:tcW w:w="1477" w:type="dxa"/>
                  <w:gridSpan w:val="2"/>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合计</w:t>
                  </w:r>
                </w:p>
              </w:tc>
              <w:tc>
                <w:tcPr>
                  <w:tcW w:w="6889" w:type="dxa"/>
                  <w:gridSpan w:val="7"/>
                  <w:tcBorders>
                    <w:tl2br w:val="nil"/>
                    <w:tr2bl w:val="nil"/>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项目环保投资为</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lang w:eastAsia="zh-CN"/>
                    </w:rPr>
                    <w:t>万元，占总投资的</w:t>
                  </w:r>
                  <w:r>
                    <w:rPr>
                      <w:rFonts w:hint="eastAsia" w:ascii="Times New Roman" w:hAnsi="Times New Roman" w:eastAsia="宋体" w:cs="Times New Roman"/>
                      <w:color w:val="auto"/>
                      <w:sz w:val="21"/>
                      <w:szCs w:val="21"/>
                      <w:lang w:val="en-US" w:eastAsia="zh-CN"/>
                    </w:rPr>
                    <w:t>1.58</w:t>
                  </w:r>
                  <w:r>
                    <w:rPr>
                      <w:rFonts w:hint="default" w:ascii="Times New Roman" w:hAnsi="Times New Roman" w:eastAsia="宋体" w:cs="Times New Roman"/>
                      <w:color w:val="auto"/>
                      <w:sz w:val="21"/>
                      <w:szCs w:val="21"/>
                      <w:lang w:val="en-US" w:eastAsia="zh-CN"/>
                    </w:rPr>
                    <w:t>%</w:t>
                  </w:r>
                </w:p>
              </w:tc>
              <w:tc>
                <w:tcPr>
                  <w:tcW w:w="50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r>
          </w:tbl>
          <w:p>
            <w:pPr>
              <w:pStyle w:val="9"/>
              <w:rPr>
                <w:sz w:val="22"/>
                <w:szCs w:val="22"/>
                <w:highlight w:val="none"/>
              </w:rPr>
            </w:pPr>
          </w:p>
          <w:p>
            <w:pPr>
              <w:pStyle w:val="9"/>
              <w:rPr>
                <w:sz w:val="22"/>
                <w:szCs w:val="22"/>
                <w:highlight w:val="none"/>
              </w:rPr>
            </w:pPr>
          </w:p>
          <w:p>
            <w:pPr>
              <w:pStyle w:val="9"/>
              <w:ind w:left="0" w:leftChars="0" w:firstLine="0" w:firstLineChars="0"/>
              <w:rPr>
                <w:sz w:val="22"/>
                <w:szCs w:val="22"/>
                <w:highlight w:val="none"/>
              </w:rPr>
            </w:pPr>
          </w:p>
          <w:p>
            <w:pPr>
              <w:pStyle w:val="9"/>
              <w:rPr>
                <w:sz w:val="22"/>
                <w:szCs w:val="22"/>
                <w:highlight w:val="none"/>
              </w:rPr>
            </w:pPr>
          </w:p>
          <w:p>
            <w:pPr>
              <w:pStyle w:val="9"/>
              <w:ind w:left="0" w:leftChars="0" w:firstLine="0" w:firstLineChars="0"/>
              <w:rPr>
                <w:sz w:val="22"/>
                <w:szCs w:val="22"/>
                <w:highlight w:val="none"/>
              </w:rPr>
            </w:pPr>
          </w:p>
        </w:tc>
      </w:tr>
    </w:tbl>
    <w:p>
      <w:pPr>
        <w:ind w:left="-178" w:leftChars="-85"/>
        <w:outlineLvl w:val="0"/>
        <w:rPr>
          <w:b/>
          <w:color w:val="000000"/>
          <w:sz w:val="32"/>
          <w:highlight w:val="none"/>
        </w:rPr>
      </w:pPr>
      <w:r>
        <w:rPr>
          <w:b/>
          <w:color w:val="000000"/>
          <w:sz w:val="32"/>
          <w:highlight w:val="none"/>
        </w:rPr>
        <w:br w:type="page"/>
      </w:r>
      <w:r>
        <w:rPr>
          <w:b/>
          <w:color w:val="000000"/>
          <w:sz w:val="32"/>
          <w:highlight w:val="none"/>
        </w:rPr>
        <w:t>结论与建议</w:t>
      </w:r>
    </w:p>
    <w:tbl>
      <w:tblPr>
        <w:tblStyle w:val="37"/>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jc w:val="center"/>
        </w:trPr>
        <w:tc>
          <w:tcPr>
            <w:tcW w:w="9084" w:type="dxa"/>
            <w:noWrap w:val="0"/>
            <w:vAlign w:val="top"/>
          </w:tcPr>
          <w:p>
            <w:pPr>
              <w:adjustRightInd w:val="0"/>
              <w:snapToGrid w:val="0"/>
              <w:spacing w:line="360" w:lineRule="auto"/>
              <w:outlineLvl w:val="0"/>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一、结论</w:t>
            </w:r>
          </w:p>
          <w:p>
            <w:pPr>
              <w:adjustRightInd w:val="0"/>
              <w:snapToGrid w:val="0"/>
              <w:spacing w:line="360" w:lineRule="auto"/>
              <w:ind w:firstLine="482" w:firstLineChars="200"/>
              <w:contextualSpacing/>
              <w:rPr>
                <w:rFonts w:hint="default" w:ascii="Times New Roman" w:hAnsi="Times New Roman" w:cs="Times New Roman"/>
                <w:b/>
                <w:bCs/>
                <w:color w:val="000000"/>
                <w:sz w:val="24"/>
                <w:highlight w:val="none"/>
              </w:rPr>
            </w:pPr>
            <w:r>
              <w:rPr>
                <w:rFonts w:hint="default" w:ascii="Times New Roman" w:hAnsi="Times New Roman" w:cs="Times New Roman"/>
                <w:b/>
                <w:bCs/>
                <w:color w:val="000000"/>
                <w:sz w:val="24"/>
                <w:highlight w:val="none"/>
              </w:rPr>
              <w:t>1、项目概况</w:t>
            </w:r>
          </w:p>
          <w:p>
            <w:pPr>
              <w:adjustRightInd w:val="0"/>
              <w:snapToGrid w:val="0"/>
              <w:spacing w:line="360" w:lineRule="auto"/>
              <w:ind w:firstLine="480" w:firstLineChars="200"/>
              <w:rPr>
                <w:rFonts w:hint="default" w:ascii="Times New Roman" w:hAnsi="Times New Roman" w:eastAsia="宋体" w:cs="Times New Roman"/>
                <w:kern w:val="0"/>
                <w:sz w:val="24"/>
                <w:highlight w:val="none"/>
                <w:lang w:eastAsia="zh-CN"/>
              </w:rPr>
            </w:pPr>
            <w:r>
              <w:rPr>
                <w:rFonts w:hint="default" w:ascii="Times New Roman" w:hAnsi="Times New Roman" w:cs="Times New Roman"/>
                <w:kern w:val="0"/>
                <w:sz w:val="24"/>
                <w:highlight w:val="none"/>
              </w:rPr>
              <w:t>项目名称：</w:t>
            </w:r>
            <w:r>
              <w:rPr>
                <w:rFonts w:hint="default" w:ascii="Times New Roman" w:hAnsi="Times New Roman" w:cs="Times New Roman"/>
                <w:kern w:val="0"/>
                <w:sz w:val="24"/>
                <w:highlight w:val="none"/>
                <w:lang w:eastAsia="zh-CN"/>
              </w:rPr>
              <w:t>年产20万立方米热固复合聚苯乙烯泡沫保温板（聚合聚苯板）项目</w:t>
            </w:r>
          </w:p>
          <w:p>
            <w:pPr>
              <w:tabs>
                <w:tab w:val="center" w:pos="4396"/>
              </w:tabs>
              <w:adjustRightInd w:val="0"/>
              <w:snapToGrid w:val="0"/>
              <w:spacing w:line="360" w:lineRule="auto"/>
              <w:ind w:firstLine="480" w:firstLineChars="200"/>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建设性质：新建</w:t>
            </w:r>
          </w:p>
          <w:p>
            <w:pPr>
              <w:tabs>
                <w:tab w:val="center" w:pos="4396"/>
              </w:tabs>
              <w:adjustRightInd w:val="0"/>
              <w:snapToGrid w:val="0"/>
              <w:spacing w:line="360" w:lineRule="auto"/>
              <w:ind w:firstLine="480" w:firstLineChars="200"/>
              <w:rPr>
                <w:rFonts w:hint="default" w:ascii="Times New Roman" w:hAnsi="Times New Roman" w:eastAsia="宋体" w:cs="Times New Roman"/>
                <w:kern w:val="0"/>
                <w:sz w:val="24"/>
                <w:highlight w:val="none"/>
                <w:lang w:eastAsia="zh-CN"/>
              </w:rPr>
            </w:pPr>
            <w:r>
              <w:rPr>
                <w:rFonts w:hint="default" w:ascii="Times New Roman" w:hAnsi="Times New Roman" w:cs="Times New Roman"/>
                <w:bCs/>
                <w:sz w:val="24"/>
                <w:highlight w:val="none"/>
              </w:rPr>
              <w:t>建设单位：</w:t>
            </w:r>
            <w:r>
              <w:rPr>
                <w:rFonts w:hint="default" w:ascii="Times New Roman" w:hAnsi="Times New Roman" w:cs="Times New Roman"/>
                <w:bCs/>
                <w:sz w:val="24"/>
                <w:highlight w:val="none"/>
                <w:lang w:eastAsia="zh-CN"/>
              </w:rPr>
              <w:t>廊坊华坤节能科技有限公司</w:t>
            </w:r>
          </w:p>
          <w:p>
            <w:pPr>
              <w:adjustRightInd w:val="0"/>
              <w:snapToGrid w:val="0"/>
              <w:spacing w:line="360" w:lineRule="auto"/>
              <w:ind w:firstLine="480" w:firstLineChars="200"/>
              <w:outlineLvl w:val="2"/>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生产规模：</w:t>
            </w:r>
            <w:r>
              <w:rPr>
                <w:rFonts w:hint="default" w:ascii="Times New Roman" w:hAnsi="Times New Roman" w:cs="Times New Roman"/>
                <w:kern w:val="0"/>
                <w:sz w:val="24"/>
                <w:highlight w:val="none"/>
                <w:lang w:eastAsia="zh-CN"/>
              </w:rPr>
              <w:t>年产20万立方米热固复合聚苯乙烯泡沫保温板（聚合聚苯板）</w:t>
            </w:r>
            <w:r>
              <w:rPr>
                <w:rFonts w:hint="default" w:ascii="Times New Roman" w:hAnsi="Times New Roman" w:cs="Times New Roman"/>
                <w:kern w:val="0"/>
                <w:sz w:val="24"/>
                <w:highlight w:val="none"/>
              </w:rPr>
              <w:t>。</w:t>
            </w:r>
          </w:p>
          <w:p>
            <w:pPr>
              <w:adjustRightInd w:val="0"/>
              <w:snapToGrid w:val="0"/>
              <w:spacing w:line="360" w:lineRule="auto"/>
              <w:ind w:firstLine="480" w:firstLineChars="200"/>
              <w:outlineLvl w:val="2"/>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项目总投资和环保投资：项目总投资</w:t>
            </w:r>
            <w:r>
              <w:rPr>
                <w:rFonts w:hint="default" w:ascii="Times New Roman" w:hAnsi="Times New Roman" w:cs="Times New Roman"/>
                <w:kern w:val="0"/>
                <w:sz w:val="24"/>
                <w:highlight w:val="none"/>
                <w:lang w:val="en-US" w:eastAsia="zh-CN"/>
              </w:rPr>
              <w:t>80</w:t>
            </w:r>
            <w:r>
              <w:rPr>
                <w:rFonts w:hint="default" w:ascii="Times New Roman" w:hAnsi="Times New Roman" w:cs="Times New Roman"/>
                <w:kern w:val="0"/>
                <w:sz w:val="24"/>
                <w:highlight w:val="none"/>
              </w:rPr>
              <w:t>万元，其中环保投资</w:t>
            </w:r>
            <w:r>
              <w:rPr>
                <w:rFonts w:hint="default" w:ascii="Times New Roman" w:hAnsi="Times New Roman" w:cs="Times New Roman"/>
                <w:kern w:val="0"/>
                <w:sz w:val="24"/>
                <w:highlight w:val="none"/>
                <w:lang w:val="en-US" w:eastAsia="zh-CN"/>
              </w:rPr>
              <w:t>6</w:t>
            </w:r>
            <w:r>
              <w:rPr>
                <w:rFonts w:hint="default" w:ascii="Times New Roman" w:hAnsi="Times New Roman" w:cs="Times New Roman"/>
                <w:kern w:val="0"/>
                <w:sz w:val="24"/>
                <w:highlight w:val="none"/>
              </w:rPr>
              <w:t>万元，占总投资的</w:t>
            </w:r>
            <w:r>
              <w:rPr>
                <w:rFonts w:hint="default" w:ascii="Times New Roman" w:hAnsi="Times New Roman" w:cs="Times New Roman"/>
                <w:kern w:val="0"/>
                <w:sz w:val="24"/>
                <w:highlight w:val="none"/>
                <w:lang w:val="en-US" w:eastAsia="zh-CN"/>
              </w:rPr>
              <w:t>7.5</w:t>
            </w:r>
            <w:r>
              <w:rPr>
                <w:rFonts w:hint="default" w:ascii="Times New Roman" w:hAnsi="Times New Roman" w:cs="Times New Roman"/>
                <w:kern w:val="0"/>
                <w:sz w:val="24"/>
                <w:highlight w:val="none"/>
              </w:rPr>
              <w:t>%。</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kern w:val="0"/>
                <w:sz w:val="24"/>
                <w:highlight w:val="none"/>
              </w:rPr>
              <w:t>劳动定员及工作制度：</w:t>
            </w:r>
            <w:r>
              <w:rPr>
                <w:rFonts w:hint="default" w:ascii="Times New Roman" w:hAnsi="Times New Roman" w:cs="Times New Roman"/>
                <w:sz w:val="24"/>
                <w:highlight w:val="none"/>
              </w:rPr>
              <w:t>本项目劳动定员</w:t>
            </w:r>
            <w:r>
              <w:rPr>
                <w:rFonts w:hint="default" w:ascii="Times New Roman" w:hAnsi="Times New Roman" w:cs="Times New Roman"/>
                <w:sz w:val="24"/>
                <w:highlight w:val="none"/>
                <w:lang w:val="en-US" w:eastAsia="zh-CN"/>
              </w:rPr>
              <w:t>12</w:t>
            </w:r>
            <w:r>
              <w:rPr>
                <w:rFonts w:hint="default" w:ascii="Times New Roman" w:hAnsi="Times New Roman" w:cs="Times New Roman"/>
                <w:sz w:val="24"/>
                <w:highlight w:val="none"/>
              </w:rPr>
              <w:t>人，工作制度采用一班制，每班8小时，年有效工作时间为300天。</w:t>
            </w:r>
          </w:p>
          <w:p>
            <w:pPr>
              <w:adjustRightInd w:val="0"/>
              <w:snapToGrid w:val="0"/>
              <w:spacing w:line="360" w:lineRule="auto"/>
              <w:ind w:firstLine="482" w:firstLineChars="200"/>
              <w:outlineLvl w:val="2"/>
              <w:rPr>
                <w:rFonts w:hint="default" w:ascii="Times New Roman" w:hAnsi="Times New Roman" w:cs="Times New Roman"/>
                <w:kern w:val="0"/>
                <w:sz w:val="24"/>
                <w:highlight w:val="none"/>
              </w:rPr>
            </w:pPr>
            <w:r>
              <w:rPr>
                <w:rFonts w:hint="default" w:ascii="Times New Roman" w:hAnsi="Times New Roman" w:cs="Times New Roman"/>
                <w:b/>
                <w:bCs/>
                <w:color w:val="000000"/>
                <w:sz w:val="24"/>
                <w:highlight w:val="none"/>
              </w:rPr>
              <w:t>2、产业政策</w:t>
            </w:r>
            <w:r>
              <w:rPr>
                <w:rFonts w:hint="default" w:ascii="Times New Roman" w:hAnsi="Times New Roman" w:cs="Times New Roman"/>
                <w:b/>
                <w:bCs/>
                <w:sz w:val="24"/>
              </w:rPr>
              <w:t>符合性结论</w:t>
            </w:r>
          </w:p>
          <w:p>
            <w:pPr>
              <w:adjustRightInd w:val="0"/>
              <w:snapToGrid w:val="0"/>
              <w:spacing w:line="360" w:lineRule="auto"/>
              <w:ind w:firstLine="480" w:firstLineChars="200"/>
              <w:outlineLvl w:val="2"/>
              <w:rPr>
                <w:rFonts w:hint="default" w:ascii="Times New Roman" w:hAnsi="Times New Roman" w:cs="Times New Roman"/>
                <w:sz w:val="24"/>
                <w:highlight w:val="none"/>
              </w:rPr>
            </w:pPr>
            <w:r>
              <w:rPr>
                <w:rFonts w:hint="default" w:ascii="Times New Roman" w:hAnsi="Times New Roman" w:cs="Times New Roman"/>
                <w:kern w:val="0"/>
                <w:sz w:val="24"/>
                <w:highlight w:val="none"/>
              </w:rPr>
              <w:t>本项目为</w:t>
            </w:r>
            <w:r>
              <w:rPr>
                <w:rFonts w:hint="default" w:ascii="Times New Roman" w:hAnsi="Times New Roman" w:cs="Times New Roman"/>
                <w:kern w:val="0"/>
                <w:sz w:val="24"/>
                <w:highlight w:val="none"/>
                <w:lang w:eastAsia="zh-CN"/>
              </w:rPr>
              <w:t>年产20万立方米热固复合聚苯乙烯泡沫保温板（聚合聚苯板）项目</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项目</w:t>
            </w:r>
            <w:r>
              <w:rPr>
                <w:rFonts w:hint="default" w:ascii="Times New Roman" w:hAnsi="Times New Roman" w:cs="Times New Roman"/>
                <w:kern w:val="0"/>
                <w:sz w:val="24"/>
                <w:highlight w:val="none"/>
                <w:lang w:eastAsia="zh-CN"/>
              </w:rPr>
              <w:t>年产20万立方米热固复合聚苯乙烯泡沫保温板（聚合聚苯板）</w:t>
            </w:r>
            <w:r>
              <w:rPr>
                <w:rFonts w:hint="default" w:ascii="Times New Roman" w:hAnsi="Times New Roman" w:cs="Times New Roman"/>
                <w:color w:val="000000"/>
                <w:sz w:val="24"/>
                <w:highlight w:val="none"/>
                <w:lang w:val="en-US" w:eastAsia="zh-CN"/>
              </w:rPr>
              <w:t>。根据《产业结构调整指导目录（2011年本）》（国家发展和改革委员会令第9号，2011年3月27日）和《国家发展改革委关于修订&lt;产业结构调整指导目录（2011年本）&gt;有关条款的决定（国家发展改革委2013年第21号令）</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本项目不属于鼓励类、限制类和淘汰类建设项目，为允许类，符合相关产业政策。本项目</w:t>
            </w:r>
            <w:r>
              <w:rPr>
                <w:rFonts w:hint="default" w:ascii="Times New Roman" w:hAnsi="Times New Roman" w:cs="Times New Roman"/>
                <w:color w:val="000000"/>
                <w:sz w:val="24"/>
                <w:highlight w:val="none"/>
              </w:rPr>
              <w:t>不属于《河北省新增限制和淘汰类产业目录</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2015年版</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w:t>
            </w:r>
            <w:r>
              <w:rPr>
                <w:rFonts w:hint="default" w:ascii="Times New Roman" w:hAnsi="Times New Roman" w:cs="Times New Roman"/>
                <w:sz w:val="24"/>
                <w:highlight w:val="none"/>
              </w:rPr>
              <w:t>限制类与淘汰类，</w:t>
            </w:r>
            <w:r>
              <w:rPr>
                <w:rFonts w:hint="default" w:ascii="Times New Roman" w:hAnsi="Times New Roman" w:cs="Times New Roman"/>
                <w:sz w:val="24"/>
                <w:lang w:val="zh-CN"/>
              </w:rPr>
              <w:t>且已在大城县发展改革局备案</w:t>
            </w:r>
            <w:r>
              <w:rPr>
                <w:rFonts w:hint="default" w:ascii="Times New Roman" w:hAnsi="Times New Roman" w:cs="Times New Roman"/>
                <w:sz w:val="24"/>
                <w:highlight w:val="none"/>
                <w:lang w:val="zh-CN"/>
              </w:rPr>
              <w:t>，</w:t>
            </w:r>
            <w:r>
              <w:rPr>
                <w:rFonts w:hint="default" w:ascii="Times New Roman" w:hAnsi="Times New Roman" w:cs="Times New Roman"/>
                <w:sz w:val="24"/>
                <w:highlight w:val="none"/>
                <w:lang w:eastAsia="zh-CN"/>
              </w:rPr>
              <w:t>项目建设符合河北省政策要求</w:t>
            </w:r>
            <w:r>
              <w:rPr>
                <w:rFonts w:hint="default" w:ascii="Times New Roman" w:hAnsi="Times New Roman" w:cs="Times New Roman"/>
                <w:sz w:val="24"/>
                <w:highlight w:val="none"/>
              </w:rPr>
              <w:t>。</w:t>
            </w:r>
          </w:p>
          <w:p>
            <w:pPr>
              <w:adjustRightInd w:val="0"/>
              <w:snapToGrid w:val="0"/>
              <w:spacing w:line="360" w:lineRule="auto"/>
              <w:ind w:firstLine="482" w:firstLineChars="200"/>
              <w:outlineLvl w:val="2"/>
              <w:rPr>
                <w:rFonts w:hint="default" w:ascii="Times New Roman" w:hAnsi="Times New Roman" w:cs="Times New Roman"/>
                <w:b/>
                <w:bCs/>
                <w:color w:val="000000"/>
                <w:sz w:val="24"/>
                <w:highlight w:val="none"/>
              </w:rPr>
            </w:pPr>
            <w:r>
              <w:rPr>
                <w:rFonts w:hint="default" w:ascii="Times New Roman" w:hAnsi="Times New Roman" w:cs="Times New Roman"/>
                <w:b/>
                <w:bCs/>
                <w:color w:val="000000"/>
                <w:sz w:val="24"/>
                <w:highlight w:val="none"/>
                <w:lang w:val="en-US" w:eastAsia="zh-CN"/>
              </w:rPr>
              <w:t>3</w:t>
            </w:r>
            <w:r>
              <w:rPr>
                <w:rFonts w:hint="default" w:ascii="Times New Roman" w:hAnsi="Times New Roman" w:cs="Times New Roman"/>
                <w:b/>
                <w:bCs/>
                <w:color w:val="000000"/>
                <w:sz w:val="24"/>
                <w:highlight w:val="none"/>
              </w:rPr>
              <w:t>、选址合理性分析</w:t>
            </w:r>
            <w:r>
              <w:rPr>
                <w:rFonts w:hint="default" w:ascii="Times New Roman" w:hAnsi="Times New Roman" w:cs="Times New Roman"/>
                <w:b/>
                <w:bCs/>
                <w:sz w:val="24"/>
              </w:rPr>
              <w:t>结论</w:t>
            </w:r>
          </w:p>
          <w:p>
            <w:pPr>
              <w:adjustRightInd w:val="0"/>
              <w:snapToGrid w:val="0"/>
              <w:spacing w:line="360" w:lineRule="auto"/>
              <w:ind w:firstLine="480" w:firstLineChars="200"/>
              <w:outlineLvl w:val="2"/>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本项目位于</w:t>
            </w:r>
            <w:r>
              <w:rPr>
                <w:rFonts w:hint="default" w:ascii="Times New Roman" w:hAnsi="Times New Roman" w:cs="Times New Roman"/>
                <w:color w:val="000000"/>
                <w:sz w:val="24"/>
                <w:highlight w:val="none"/>
                <w:lang w:eastAsia="zh-CN"/>
              </w:rPr>
              <w:t>河北省廊坊市大城县里坦镇流源庄村</w:t>
            </w:r>
            <w:r>
              <w:rPr>
                <w:rFonts w:hint="default" w:ascii="Times New Roman" w:hAnsi="Times New Roman" w:cs="Times New Roman"/>
                <w:color w:val="000000"/>
                <w:sz w:val="24"/>
                <w:highlight w:val="none"/>
              </w:rPr>
              <w:t>，中心地理位置坐标为</w:t>
            </w:r>
            <w:r>
              <w:rPr>
                <w:rFonts w:hint="default" w:ascii="Times New Roman" w:hAnsi="Times New Roman" w:cs="Times New Roman"/>
                <w:color w:val="000000"/>
                <w:sz w:val="24"/>
                <w:highlight w:val="none"/>
                <w:lang w:eastAsia="zh-CN"/>
              </w:rPr>
              <w:t>东经116°35'28.65"，北纬38°33'06.44"</w:t>
            </w:r>
            <w:r>
              <w:rPr>
                <w:rFonts w:hint="default" w:ascii="Times New Roman" w:hAnsi="Times New Roman" w:cs="Times New Roman"/>
                <w:color w:val="000000"/>
                <w:sz w:val="24"/>
                <w:highlight w:val="none"/>
              </w:rPr>
              <w:t>，占地面积</w:t>
            </w:r>
            <w:r>
              <w:rPr>
                <w:rFonts w:hint="default" w:ascii="Times New Roman" w:hAnsi="Times New Roman" w:cs="Times New Roman"/>
                <w:sz w:val="24"/>
                <w:highlight w:val="none"/>
                <w:lang w:val="en-US" w:eastAsia="zh-CN"/>
              </w:rPr>
              <w:t>1700</w:t>
            </w:r>
            <w:r>
              <w:rPr>
                <w:rFonts w:hint="default" w:ascii="Times New Roman" w:hAnsi="Times New Roman" w:cs="Times New Roman"/>
                <w:color w:val="000000"/>
                <w:sz w:val="24"/>
                <w:highlight w:val="none"/>
              </w:rPr>
              <w:t>m</w:t>
            </w:r>
            <w:r>
              <w:rPr>
                <w:rFonts w:hint="default" w:ascii="Times New Roman" w:hAnsi="Times New Roman" w:cs="Times New Roman"/>
                <w:color w:val="000000"/>
                <w:sz w:val="24"/>
                <w:highlight w:val="none"/>
                <w:vertAlign w:val="superscript"/>
              </w:rPr>
              <w:t>2</w:t>
            </w:r>
            <w:r>
              <w:rPr>
                <w:rFonts w:hint="default" w:ascii="Times New Roman" w:hAnsi="Times New Roman" w:cs="Times New Roman"/>
                <w:bCs/>
                <w:sz w:val="24"/>
                <w:highlight w:val="none"/>
                <w:vertAlign w:val="baseline"/>
                <w:lang w:eastAsia="zh-CN"/>
              </w:rPr>
              <w:t>，</w:t>
            </w:r>
            <w:r>
              <w:rPr>
                <w:rFonts w:hint="default" w:ascii="Times New Roman" w:hAnsi="Times New Roman" w:cs="Times New Roman"/>
                <w:color w:val="000000"/>
                <w:sz w:val="24"/>
                <w:highlight w:val="none"/>
              </w:rPr>
              <w:t>建筑面积</w:t>
            </w:r>
            <w:r>
              <w:rPr>
                <w:rFonts w:hint="default" w:ascii="Times New Roman" w:hAnsi="Times New Roman" w:cs="Times New Roman"/>
                <w:color w:val="000000"/>
                <w:sz w:val="24"/>
                <w:highlight w:val="none"/>
                <w:lang w:val="en-US" w:eastAsia="zh-CN"/>
              </w:rPr>
              <w:t>1700</w:t>
            </w:r>
            <w:r>
              <w:rPr>
                <w:rFonts w:hint="default" w:ascii="Times New Roman" w:hAnsi="Times New Roman" w:cs="Times New Roman"/>
                <w:color w:val="000000"/>
                <w:sz w:val="24"/>
                <w:highlight w:val="none"/>
              </w:rPr>
              <w:t>m</w:t>
            </w:r>
            <w:r>
              <w:rPr>
                <w:rFonts w:hint="default" w:ascii="Times New Roman" w:hAnsi="Times New Roman" w:cs="Times New Roman"/>
                <w:color w:val="000000"/>
                <w:sz w:val="24"/>
                <w:highlight w:val="none"/>
                <w:vertAlign w:val="superscript"/>
              </w:rPr>
              <w:t>2</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eastAsia="zh-CN"/>
              </w:rPr>
              <w:t>公司租用里坦镇里坦镇流源庄村厂房一座，</w:t>
            </w:r>
            <w:r>
              <w:rPr>
                <w:rFonts w:hint="default" w:ascii="Times New Roman" w:hAnsi="Times New Roman" w:cs="Times New Roman"/>
                <w:sz w:val="24"/>
                <w:lang w:eastAsia="zh-CN"/>
              </w:rPr>
              <w:t>根据大城县里坦镇人民政府规划管理办公室</w:t>
            </w:r>
            <w:r>
              <w:rPr>
                <w:rFonts w:hint="default" w:ascii="Times New Roman" w:hAnsi="Times New Roman" w:cs="Times New Roman"/>
                <w:sz w:val="24"/>
              </w:rPr>
              <w:t>出具的土地</w:t>
            </w:r>
            <w:r>
              <w:rPr>
                <w:rFonts w:hint="default" w:ascii="Times New Roman" w:hAnsi="Times New Roman" w:cs="Times New Roman"/>
                <w:sz w:val="24"/>
                <w:lang w:eastAsia="zh-CN"/>
              </w:rPr>
              <w:t>证明</w:t>
            </w:r>
            <w:r>
              <w:rPr>
                <w:rFonts w:hint="default" w:ascii="Times New Roman" w:hAnsi="Times New Roman" w:cs="Times New Roman"/>
                <w:sz w:val="24"/>
              </w:rPr>
              <w:t>，本项目</w:t>
            </w:r>
            <w:r>
              <w:rPr>
                <w:rFonts w:hint="default" w:ascii="Times New Roman" w:hAnsi="Times New Roman" w:cs="Times New Roman"/>
                <w:sz w:val="24"/>
                <w:lang w:eastAsia="zh-CN"/>
              </w:rPr>
              <w:t>占地属于建设用地</w:t>
            </w:r>
            <w:r>
              <w:rPr>
                <w:rFonts w:hint="default" w:ascii="Times New Roman" w:hAnsi="Times New Roman" w:cs="Times New Roman"/>
                <w:sz w:val="24"/>
              </w:rPr>
              <w:t>，符合</w:t>
            </w:r>
            <w:r>
              <w:rPr>
                <w:rFonts w:hint="default" w:ascii="Times New Roman" w:hAnsi="Times New Roman" w:cs="Times New Roman"/>
                <w:color w:val="000000"/>
                <w:sz w:val="24"/>
                <w:highlight w:val="none"/>
                <w:lang w:eastAsia="zh-CN"/>
              </w:rPr>
              <w:t>里坦镇土地利用规划</w:t>
            </w:r>
            <w:r>
              <w:rPr>
                <w:rFonts w:hint="default" w:ascii="Times New Roman" w:hAnsi="Times New Roman" w:cs="Times New Roman"/>
                <w:sz w:val="24"/>
              </w:rPr>
              <w:t>。</w:t>
            </w:r>
            <w:r>
              <w:rPr>
                <w:rFonts w:hint="default" w:ascii="Times New Roman" w:hAnsi="Times New Roman" w:cs="Times New Roman"/>
                <w:sz w:val="24"/>
                <w:szCs w:val="28"/>
              </w:rPr>
              <w:t>本项目评价范围内无饮用水水源地保护区、自然保护区、风景名胜区、生态功能保护区、文物保护地等法律、法规规定的环境敏感区。</w:t>
            </w:r>
            <w:r>
              <w:rPr>
                <w:rFonts w:hint="default" w:ascii="Times New Roman" w:hAnsi="Times New Roman" w:cs="Times New Roman"/>
                <w:sz w:val="24"/>
              </w:rPr>
              <w:t>综上所述，本项目的选址合理</w:t>
            </w:r>
            <w:r>
              <w:rPr>
                <w:rFonts w:hint="default" w:ascii="Times New Roman" w:hAnsi="Times New Roman" w:cs="Times New Roman"/>
                <w:color w:val="000000"/>
                <w:sz w:val="24"/>
                <w:highlight w:val="none"/>
              </w:rPr>
              <w:t>。</w:t>
            </w:r>
          </w:p>
          <w:p>
            <w:pPr>
              <w:tabs>
                <w:tab w:val="left" w:pos="5250"/>
              </w:tabs>
              <w:spacing w:line="360" w:lineRule="auto"/>
              <w:ind w:firstLine="482" w:firstLineChars="200"/>
              <w:rPr>
                <w:rFonts w:hint="default" w:ascii="Times New Roman" w:hAnsi="Times New Roman" w:cs="Times New Roman"/>
                <w:b/>
                <w:bCs/>
                <w:color w:val="000000"/>
                <w:sz w:val="24"/>
                <w:highlight w:val="none"/>
              </w:rPr>
            </w:pPr>
            <w:r>
              <w:rPr>
                <w:rFonts w:hint="default" w:ascii="Times New Roman" w:hAnsi="Times New Roman" w:cs="Times New Roman"/>
                <w:b/>
                <w:bCs/>
                <w:color w:val="000000"/>
                <w:sz w:val="24"/>
                <w:highlight w:val="none"/>
                <w:lang w:eastAsia="zh-CN"/>
              </w:rPr>
              <w:t>4、施工期环境影响分析</w:t>
            </w:r>
            <w:r>
              <w:rPr>
                <w:rFonts w:hint="default" w:ascii="Times New Roman" w:hAnsi="Times New Roman" w:cs="Times New Roman"/>
                <w:b/>
                <w:bCs/>
                <w:color w:val="000000"/>
                <w:sz w:val="24"/>
                <w:highlight w:val="none"/>
              </w:rPr>
              <w:t>结论</w:t>
            </w:r>
          </w:p>
          <w:p>
            <w:pPr>
              <w:tabs>
                <w:tab w:val="left" w:pos="5250"/>
              </w:tabs>
              <w:spacing w:line="360" w:lineRule="auto"/>
              <w:ind w:firstLine="480" w:firstLineChars="200"/>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rPr>
              <w:t>项目利用原有厂房，</w:t>
            </w:r>
            <w:r>
              <w:rPr>
                <w:rFonts w:hint="default" w:ascii="Times New Roman" w:hAnsi="Times New Roman" w:cs="Times New Roman"/>
                <w:sz w:val="24"/>
                <w:highlight w:val="none"/>
              </w:rPr>
              <w:t>不再建设厂房，施工期为设备的安装和调试，施工期产生的污染物主要为设备安装时的噪声，随时工期结束噪声影响就会结束，不会对周围环境造成明显影响，因</w:t>
            </w:r>
            <w:r>
              <w:rPr>
                <w:rFonts w:hint="default" w:ascii="Times New Roman" w:hAnsi="Times New Roman" w:cs="Times New Roman"/>
                <w:color w:val="000000"/>
                <w:sz w:val="24"/>
                <w:highlight w:val="none"/>
                <w:lang w:eastAsia="zh-CN"/>
              </w:rPr>
              <w:t>此本项目施工期对周围环境影响较小。</w:t>
            </w:r>
          </w:p>
          <w:p>
            <w:pPr>
              <w:tabs>
                <w:tab w:val="left" w:pos="5250"/>
              </w:tabs>
              <w:spacing w:line="360" w:lineRule="auto"/>
              <w:ind w:firstLine="482" w:firstLineChars="200"/>
              <w:rPr>
                <w:rFonts w:hint="default" w:ascii="Times New Roman" w:hAnsi="Times New Roman" w:cs="Times New Roman"/>
                <w:b/>
                <w:bCs/>
                <w:color w:val="000000"/>
                <w:sz w:val="24"/>
                <w:highlight w:val="none"/>
                <w:lang w:eastAsia="zh-CN"/>
              </w:rPr>
            </w:pPr>
            <w:r>
              <w:rPr>
                <w:rFonts w:hint="default" w:ascii="Times New Roman" w:hAnsi="Times New Roman" w:cs="Times New Roman"/>
                <w:b/>
                <w:bCs/>
                <w:color w:val="000000"/>
                <w:sz w:val="24"/>
                <w:highlight w:val="none"/>
                <w:lang w:eastAsia="zh-CN"/>
              </w:rPr>
              <w:t>5、营运期环境影响评价结论</w:t>
            </w:r>
          </w:p>
          <w:p>
            <w:pPr>
              <w:tabs>
                <w:tab w:val="left" w:pos="5250"/>
              </w:tabs>
              <w:spacing w:line="360" w:lineRule="auto"/>
              <w:ind w:firstLine="480" w:firstLineChars="200"/>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（1）废气污染源分析</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天然气锅炉废气</w:t>
            </w:r>
            <w:r>
              <w:rPr>
                <w:rFonts w:hint="default" w:ascii="Times New Roman" w:hAnsi="Times New Roman" w:cs="Times New Roman"/>
                <w:sz w:val="24"/>
                <w:szCs w:val="24"/>
                <w:lang w:eastAsia="zh-CN"/>
              </w:rPr>
              <w:t>经低氮燃烧器</w:t>
            </w:r>
            <w:r>
              <w:rPr>
                <w:rFonts w:hint="default" w:ascii="Times New Roman" w:hAnsi="Times New Roman" w:cs="Times New Roman"/>
                <w:sz w:val="24"/>
                <w:szCs w:val="24"/>
                <w:lang w:val="en-US" w:eastAsia="zh-CN"/>
              </w:rPr>
              <w:t>+15m高排气筒排放，</w:t>
            </w:r>
            <w:r>
              <w:rPr>
                <w:rFonts w:hint="default" w:ascii="Times New Roman" w:hAnsi="Times New Roman" w:cs="Times New Roman"/>
                <w:sz w:val="24"/>
                <w:szCs w:val="24"/>
              </w:rPr>
              <w:t>污染物排放满足《锅炉大气污染物排放标准》（GB13271-2014）表3中大气污染物特别排放限值（颗粒物浓度≤20mg/m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浓度≤50mg/m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，NOx浓度≤150mg/m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）限值要求。</w:t>
            </w:r>
          </w:p>
          <w:p>
            <w:pPr>
              <w:spacing w:line="480" w:lineRule="exact"/>
              <w:ind w:firstLine="480" w:firstLineChars="200"/>
              <w:rPr>
                <w:rFonts w:hint="default" w:ascii="Times New Roman" w:hAnsi="Times New Roman" w:cs="Times New Roman"/>
                <w:color w:val="000000"/>
                <w:sz w:val="24"/>
                <w:highlight w:val="none"/>
              </w:rPr>
            </w:pPr>
            <w:r>
              <w:rPr>
                <w:rFonts w:hint="default" w:ascii="Times New Roman" w:hAnsi="Times New Roman" w:eastAsia="宋体" w:cs="Times New Roman"/>
                <w:sz w:val="24"/>
                <w:szCs w:val="20"/>
                <w:lang w:eastAsia="zh-CN"/>
              </w:rPr>
              <w:t>发泡、打板、切割</w:t>
            </w:r>
            <w:r>
              <w:rPr>
                <w:rFonts w:hint="default" w:ascii="Times New Roman" w:hAnsi="Times New Roman" w:cs="Times New Roman"/>
                <w:sz w:val="24"/>
                <w:szCs w:val="24"/>
              </w:rPr>
              <w:t>产生非甲烷总烃</w:t>
            </w:r>
            <w:r>
              <w:rPr>
                <w:rFonts w:hint="default" w:ascii="Times New Roman" w:hAnsi="Times New Roman" w:cs="Times New Roman"/>
                <w:sz w:val="24"/>
                <w:szCs w:val="24"/>
                <w:lang w:eastAsia="zh-CN"/>
              </w:rPr>
              <w:t>，设备</w:t>
            </w:r>
            <w:r>
              <w:rPr>
                <w:rFonts w:hint="default" w:ascii="Times New Roman" w:hAnsi="Times New Roman" w:cs="Times New Roman"/>
                <w:sz w:val="24"/>
                <w:szCs w:val="24"/>
              </w:rPr>
              <w:t>上方设集气罩，经集气罩+活性炭吸附+光氧催化设备处理后经15m高排气筒排放，</w:t>
            </w:r>
            <w:r>
              <w:rPr>
                <w:rFonts w:hint="default" w:ascii="Times New Roman" w:hAnsi="Times New Roman" w:cs="Times New Roman"/>
                <w:sz w:val="24"/>
                <w:szCs w:val="24"/>
                <w:lang w:eastAsia="zh-CN"/>
              </w:rPr>
              <w:t>废气</w:t>
            </w:r>
            <w:r>
              <w:rPr>
                <w:rFonts w:hint="default" w:ascii="Times New Roman" w:hAnsi="Times New Roman" w:cs="Times New Roman"/>
                <w:sz w:val="24"/>
                <w:szCs w:val="24"/>
              </w:rPr>
              <w:t>满足《工业企业挥发性有机物排放控制标准》（DB13/2322-2016）表1</w:t>
            </w:r>
            <w:r>
              <w:rPr>
                <w:rFonts w:hint="default" w:ascii="Times New Roman" w:hAnsi="Times New Roman" w:cs="Times New Roman"/>
                <w:sz w:val="24"/>
                <w:szCs w:val="24"/>
                <w:lang w:eastAsia="zh-CN"/>
              </w:rPr>
              <w:t>有机化工</w:t>
            </w:r>
            <w:r>
              <w:rPr>
                <w:rFonts w:hint="default" w:ascii="Times New Roman" w:hAnsi="Times New Roman" w:cs="Times New Roman"/>
                <w:sz w:val="24"/>
                <w:szCs w:val="24"/>
              </w:rPr>
              <w:t>业大气污染物排放限值</w:t>
            </w:r>
            <w:r>
              <w:rPr>
                <w:rFonts w:hint="default" w:ascii="Times New Roman" w:hAnsi="Times New Roman" w:cs="Times New Roman"/>
                <w:sz w:val="24"/>
                <w:szCs w:val="24"/>
                <w:lang w:eastAsia="zh-CN"/>
              </w:rPr>
              <w:t>，非甲烷总烃排放限值80mg/m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，最低去除效率90%，若非甲烷总烃去除效率不满足要求，同时执行表3生产车间或生产设备边界大气污染物浓度限值标准</w:t>
            </w:r>
            <w:r>
              <w:rPr>
                <w:rFonts w:hint="default" w:ascii="Times New Roman" w:hAnsi="Times New Roman" w:cs="Times New Roman"/>
                <w:color w:val="000000"/>
                <w:sz w:val="24"/>
                <w:highlight w:val="none"/>
              </w:rPr>
              <w:t>。</w:t>
            </w:r>
          </w:p>
          <w:p>
            <w:pPr>
              <w:spacing w:line="480" w:lineRule="exact"/>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无组织非甲烷总烃满足《工业企业挥发性有机物排放控制标准》（DB13/2322-2016）表2其他行业企业边界浓度限值。</w:t>
            </w:r>
          </w:p>
          <w:p>
            <w:pPr>
              <w:spacing w:line="480" w:lineRule="exact"/>
              <w:ind w:firstLine="480" w:firstLineChars="200"/>
              <w:rPr>
                <w:rFonts w:hint="default" w:ascii="Times New Roman" w:hAnsi="Times New Roman" w:cs="Times New Roman"/>
                <w:sz w:val="24"/>
                <w:szCs w:val="24"/>
                <w:lang w:eastAsia="zh-CN"/>
              </w:rPr>
            </w:pPr>
            <w:r>
              <w:rPr>
                <w:rFonts w:hint="default" w:ascii="Times New Roman" w:hAnsi="Times New Roman" w:cs="Times New Roman"/>
                <w:color w:val="000000"/>
                <w:sz w:val="24"/>
                <w:highlight w:val="none"/>
                <w:lang w:eastAsia="zh-CN"/>
              </w:rPr>
              <w:t>打浆工序产生颗粒物</w:t>
            </w:r>
            <w:r>
              <w:rPr>
                <w:rFonts w:hint="default" w:ascii="Times New Roman" w:hAnsi="Times New Roman" w:cs="Times New Roman"/>
                <w:sz w:val="24"/>
                <w:szCs w:val="24"/>
                <w:lang w:eastAsia="zh-CN"/>
              </w:rPr>
              <w:t>，设备</w:t>
            </w:r>
            <w:r>
              <w:rPr>
                <w:rFonts w:hint="default" w:ascii="Times New Roman" w:hAnsi="Times New Roman" w:cs="Times New Roman"/>
                <w:sz w:val="24"/>
                <w:szCs w:val="24"/>
              </w:rPr>
              <w:t>上方设集气罩，经集气罩+</w:t>
            </w:r>
            <w:r>
              <w:rPr>
                <w:rFonts w:hint="default" w:ascii="Times New Roman" w:hAnsi="Times New Roman" w:cs="Times New Roman"/>
                <w:sz w:val="24"/>
                <w:szCs w:val="24"/>
                <w:lang w:eastAsia="zh-CN"/>
              </w:rPr>
              <w:t>布袋除尘器</w:t>
            </w:r>
            <w:r>
              <w:rPr>
                <w:rFonts w:hint="default" w:ascii="Times New Roman" w:hAnsi="Times New Roman" w:cs="Times New Roman"/>
                <w:sz w:val="24"/>
                <w:szCs w:val="24"/>
              </w:rPr>
              <w:t>处理后经15m高排气筒排放，污染物排放满足《水泥工业大气污染物排放标准》（DB2167-2015）表1中第Ⅱ时段散装水泥中转站及水泥制品生产排放标准</w:t>
            </w:r>
            <w:r>
              <w:rPr>
                <w:rFonts w:hint="default" w:ascii="Times New Roman" w:hAnsi="Times New Roman" w:cs="Times New Roman"/>
                <w:sz w:val="24"/>
                <w:szCs w:val="24"/>
                <w:lang w:eastAsia="zh-CN"/>
              </w:rPr>
              <w:t>。</w:t>
            </w:r>
          </w:p>
          <w:p>
            <w:pPr>
              <w:spacing w:line="480" w:lineRule="exact"/>
              <w:ind w:firstLine="480" w:firstLineChars="200"/>
              <w:rPr>
                <w:rFonts w:hint="default" w:ascii="Times New Roman" w:hAnsi="Times New Roman" w:eastAsia="宋体" w:cs="Times New Roman"/>
                <w:sz w:val="24"/>
                <w:szCs w:val="24"/>
                <w:lang w:eastAsia="zh-CN"/>
              </w:rPr>
            </w:pPr>
            <w:r>
              <w:rPr>
                <w:rFonts w:hint="eastAsia" w:ascii="Times New Roman" w:hAnsi="Times New Roman" w:cs="Times New Roman"/>
                <w:sz w:val="24"/>
                <w:szCs w:val="24"/>
                <w:highlight w:val="none"/>
                <w:lang w:val="en-US" w:eastAsia="zh-CN"/>
              </w:rPr>
              <w:t>无组织颗粒满足</w:t>
            </w:r>
            <w:r>
              <w:rPr>
                <w:rFonts w:hint="default" w:ascii="Times New Roman" w:hAnsi="Times New Roman" w:cs="Times New Roman"/>
                <w:sz w:val="24"/>
                <w:szCs w:val="24"/>
                <w:highlight w:val="none"/>
                <w:lang w:val="en-US" w:eastAsia="zh-CN"/>
              </w:rPr>
              <w:t>《水泥工业大气污染物排放标准》（DB2167-2015）表2大气污染物无组织排放监控浓度限值要求</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 xml:space="preserve"> </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（2）水环境影响分析</w:t>
            </w:r>
          </w:p>
          <w:p>
            <w:pPr>
              <w:spacing w:line="360" w:lineRule="auto"/>
              <w:ind w:firstLine="480" w:firstLineChars="200"/>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蒸汽灌用水，全部随物料带走，最终蒸发。</w:t>
            </w:r>
          </w:p>
          <w:p>
            <w:pPr>
              <w:tabs>
                <w:tab w:val="left" w:pos="5250"/>
              </w:tabs>
              <w:spacing w:line="360" w:lineRule="auto"/>
              <w:ind w:firstLine="480" w:firstLineChars="200"/>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本项目不设食堂、浴室、宿舍，生活污水主要为盥洗废水，水质简单，用于厂区内泼洒抑尘。</w:t>
            </w:r>
          </w:p>
          <w:p>
            <w:pPr>
              <w:tabs>
                <w:tab w:val="left" w:pos="5250"/>
              </w:tabs>
              <w:spacing w:line="360" w:lineRule="auto"/>
              <w:ind w:firstLine="480" w:firstLineChars="200"/>
              <w:rPr>
                <w:rFonts w:hint="default" w:ascii="Times New Roman" w:hAnsi="Times New Roman" w:eastAsia="宋体" w:cs="Times New Roman"/>
                <w:lang w:eastAsia="zh-CN"/>
              </w:rPr>
            </w:pPr>
            <w:r>
              <w:rPr>
                <w:rFonts w:hint="default" w:ascii="Times New Roman" w:hAnsi="Times New Roman" w:cs="Times New Roman"/>
                <w:color w:val="000000"/>
                <w:sz w:val="24"/>
                <w:highlight w:val="none"/>
                <w:lang w:eastAsia="zh-CN"/>
              </w:rPr>
              <w:t>因此，本项目无废水外排，不会对水环境造成影响。</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（3）声环境影响分析</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生产设备置于封闭车间内，基础加装减震垫，采取上措施后，厂界噪声满足《工业企业厂界环境噪声排放标准》</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GB12348-2008</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2类</w:t>
            </w:r>
            <w:r>
              <w:rPr>
                <w:rFonts w:hint="default" w:ascii="Times New Roman" w:hAnsi="Times New Roman" w:cs="Times New Roman"/>
                <w:color w:val="000000"/>
                <w:sz w:val="24"/>
                <w:highlight w:val="none"/>
                <w:lang w:eastAsia="zh-CN"/>
              </w:rPr>
              <w:t>和</w:t>
            </w:r>
            <w:r>
              <w:rPr>
                <w:rFonts w:hint="default" w:ascii="Times New Roman" w:hAnsi="Times New Roman" w:cs="Times New Roman"/>
                <w:color w:val="000000"/>
                <w:sz w:val="24"/>
                <w:highlight w:val="none"/>
                <w:lang w:val="en-US" w:eastAsia="zh-CN"/>
              </w:rPr>
              <w:t>4类</w:t>
            </w:r>
            <w:r>
              <w:rPr>
                <w:rFonts w:hint="default" w:ascii="Times New Roman" w:hAnsi="Times New Roman" w:cs="Times New Roman"/>
                <w:color w:val="000000"/>
                <w:sz w:val="24"/>
                <w:highlight w:val="none"/>
              </w:rPr>
              <w:t>标准要求。不会对周围环境产生不良影响。</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val="en-US" w:eastAsia="zh-CN"/>
              </w:rPr>
              <w:t>4</w:t>
            </w:r>
            <w:r>
              <w:rPr>
                <w:rFonts w:hint="default" w:ascii="Times New Roman" w:hAnsi="Times New Roman" w:cs="Times New Roman"/>
                <w:color w:val="000000"/>
                <w:sz w:val="24"/>
                <w:highlight w:val="none"/>
              </w:rPr>
              <w:t>）固体废物影响分析</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项目一般固废主要是切割工序产生的废边角料及职工生活垃圾。</w:t>
            </w:r>
          </w:p>
          <w:p>
            <w:pPr>
              <w:tabs>
                <w:tab w:val="left" w:pos="5250"/>
              </w:tabs>
              <w:spacing w:line="360" w:lineRule="auto"/>
              <w:ind w:firstLine="480" w:firstLineChars="200"/>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项目切割工序产生的废边角料集中收集后外售。</w:t>
            </w:r>
          </w:p>
          <w:p>
            <w:pPr>
              <w:tabs>
                <w:tab w:val="left" w:pos="5250"/>
              </w:tabs>
              <w:spacing w:line="360" w:lineRule="auto"/>
              <w:ind w:firstLine="480" w:firstLineChars="200"/>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项目产生的废活性炭暂存于危废间后交给有资质单位处理。</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职工垃圾集中收集后交由环卫部门统一处理。</w:t>
            </w:r>
          </w:p>
          <w:p>
            <w:pPr>
              <w:tabs>
                <w:tab w:val="left" w:pos="5250"/>
              </w:tabs>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项目产生的固体废物均得到有效处理和处置，不会对周边环境产生影响。</w:t>
            </w:r>
          </w:p>
          <w:p>
            <w:pPr>
              <w:tabs>
                <w:tab w:val="left" w:pos="5250"/>
              </w:tabs>
              <w:spacing w:line="360" w:lineRule="auto"/>
              <w:ind w:firstLine="482" w:firstLineChars="200"/>
              <w:rPr>
                <w:rFonts w:hint="default" w:ascii="Times New Roman" w:hAnsi="Times New Roman" w:cs="Times New Roman"/>
                <w:color w:val="000000"/>
                <w:sz w:val="24"/>
                <w:highlight w:val="none"/>
              </w:rPr>
            </w:pPr>
            <w:r>
              <w:rPr>
                <w:rFonts w:hint="default" w:ascii="Times New Roman" w:hAnsi="Times New Roman" w:cs="Times New Roman"/>
                <w:b/>
                <w:bCs/>
                <w:color w:val="000000"/>
                <w:sz w:val="24"/>
                <w:highlight w:val="none"/>
              </w:rPr>
              <w:t>6、总量控制</w:t>
            </w:r>
            <w:r>
              <w:rPr>
                <w:rFonts w:hint="default" w:ascii="Times New Roman" w:hAnsi="Times New Roman" w:cs="Times New Roman"/>
                <w:b/>
                <w:bCs/>
                <w:color w:val="000000"/>
                <w:sz w:val="24"/>
                <w:highlight w:val="none"/>
                <w:lang w:eastAsia="zh-CN"/>
              </w:rPr>
              <w:t>结论</w:t>
            </w:r>
            <w:r>
              <w:rPr>
                <w:rFonts w:hint="default" w:ascii="Times New Roman" w:hAnsi="Times New Roman" w:cs="Times New Roman"/>
                <w:color w:val="000000"/>
                <w:sz w:val="24"/>
                <w:highlight w:val="none"/>
              </w:rPr>
              <w:tab/>
            </w:r>
          </w:p>
          <w:p>
            <w:pPr>
              <w:tabs>
                <w:tab w:val="left" w:pos="5250"/>
              </w:tabs>
              <w:spacing w:line="360" w:lineRule="auto"/>
              <w:ind w:firstLine="480" w:firstLineChars="200"/>
              <w:rPr>
                <w:rFonts w:hint="default" w:ascii="Times New Roman" w:hAnsi="Times New Roman" w:cs="Times New Roman"/>
                <w:color w:val="000000"/>
                <w:sz w:val="24"/>
                <w:highlight w:val="none"/>
                <w:lang w:val="de-DE"/>
              </w:rPr>
            </w:pPr>
            <w:r>
              <w:rPr>
                <w:rFonts w:hint="default" w:ascii="Times New Roman" w:hAnsi="Times New Roman" w:cs="Times New Roman"/>
                <w:color w:val="000000"/>
                <w:sz w:val="24"/>
                <w:highlight w:val="none"/>
              </w:rPr>
              <w:t>根据相关环保政策要求，结合建设项目的排污特点，确定建设项目的污染物排放总量控制指标为：</w:t>
            </w:r>
            <w:r>
              <w:rPr>
                <w:rFonts w:hint="default" w:ascii="Times New Roman" w:hAnsi="Times New Roman" w:eastAsia="宋体" w:cs="Times New Roman"/>
                <w:color w:val="auto"/>
                <w:sz w:val="24"/>
                <w:szCs w:val="24"/>
                <w:highlight w:val="none"/>
              </w:rPr>
              <w:t>COD：0t/a，NH</w:t>
            </w:r>
            <w:r>
              <w:rPr>
                <w:rFonts w:hint="default" w:ascii="Times New Roman" w:hAnsi="Times New Roman" w:eastAsia="宋体" w:cs="Times New Roman"/>
                <w:color w:val="auto"/>
                <w:sz w:val="24"/>
                <w:szCs w:val="24"/>
                <w:highlight w:val="none"/>
                <w:vertAlign w:val="subscript"/>
              </w:rPr>
              <w:t>3</w:t>
            </w:r>
            <w:r>
              <w:rPr>
                <w:rFonts w:hint="default" w:ascii="Times New Roman" w:hAnsi="Times New Roman" w:eastAsia="宋体" w:cs="Times New Roman"/>
                <w:color w:val="auto"/>
                <w:sz w:val="24"/>
                <w:szCs w:val="24"/>
                <w:highlight w:val="none"/>
              </w:rPr>
              <w:t>-N：0t/a，SO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.031</w:t>
            </w:r>
            <w:r>
              <w:rPr>
                <w:rFonts w:hint="default" w:ascii="Times New Roman" w:hAnsi="Times New Roman" w:eastAsia="宋体" w:cs="Times New Roman"/>
                <w:color w:val="auto"/>
                <w:sz w:val="24"/>
                <w:szCs w:val="24"/>
                <w:highlight w:val="none"/>
              </w:rPr>
              <w:t>t/a，NOx：0</w:t>
            </w:r>
            <w:r>
              <w:rPr>
                <w:rFonts w:hint="default" w:ascii="Times New Roman" w:hAnsi="Times New Roman" w:eastAsia="宋体" w:cs="Times New Roman"/>
                <w:color w:val="auto"/>
                <w:sz w:val="24"/>
                <w:szCs w:val="24"/>
                <w:highlight w:val="none"/>
                <w:lang w:val="en-US" w:eastAsia="zh-CN"/>
              </w:rPr>
              <w:t>.092</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VOCs：0.384t/a</w:t>
            </w:r>
            <w:r>
              <w:rPr>
                <w:rFonts w:hint="default" w:ascii="Times New Roman" w:hAnsi="Times New Roman" w:eastAsia="宋体" w:cs="Times New Roman"/>
                <w:color w:val="auto"/>
                <w:kern w:val="0"/>
                <w:sz w:val="24"/>
                <w:szCs w:val="24"/>
                <w:highlight w:val="none"/>
                <w:lang w:eastAsia="zh-CN"/>
              </w:rPr>
              <w:t>。</w:t>
            </w:r>
          </w:p>
          <w:p>
            <w:pPr>
              <w:tabs>
                <w:tab w:val="left" w:pos="5250"/>
              </w:tabs>
              <w:spacing w:line="360" w:lineRule="auto"/>
              <w:ind w:firstLine="482" w:firstLineChars="200"/>
              <w:rPr>
                <w:rFonts w:hint="default" w:ascii="Times New Roman" w:hAnsi="Times New Roman" w:cs="Times New Roman"/>
                <w:color w:val="000000"/>
                <w:sz w:val="24"/>
                <w:highlight w:val="none"/>
              </w:rPr>
            </w:pPr>
            <w:r>
              <w:rPr>
                <w:rFonts w:hint="default" w:ascii="Times New Roman" w:hAnsi="Times New Roman" w:cs="Times New Roman"/>
                <w:b/>
                <w:sz w:val="24"/>
                <w:highlight w:val="none"/>
              </w:rPr>
              <w:t>综上所述，本项目符合国家相关产业政策，厂址选择合理，在运营过程中，严格执行本环评中提出的各种措施，确保污染物达标排放，从环境保护角度分析该项目建设是</w:t>
            </w:r>
            <w:r>
              <w:rPr>
                <w:rFonts w:hint="default" w:ascii="Times New Roman" w:hAnsi="Times New Roman" w:cs="Times New Roman"/>
                <w:b/>
                <w:bCs w:val="0"/>
                <w:sz w:val="24"/>
                <w:highlight w:val="none"/>
              </w:rPr>
              <w:t>可行</w:t>
            </w:r>
            <w:r>
              <w:rPr>
                <w:rFonts w:hint="default" w:ascii="Times New Roman" w:hAnsi="Times New Roman" w:cs="Times New Roman"/>
                <w:b/>
                <w:bCs w:val="0"/>
                <w:color w:val="000000"/>
                <w:sz w:val="24"/>
                <w:highlight w:val="none"/>
              </w:rPr>
              <w:t>的。</w:t>
            </w:r>
          </w:p>
          <w:p>
            <w:pPr>
              <w:tabs>
                <w:tab w:val="left" w:pos="5250"/>
              </w:tabs>
              <w:spacing w:line="360" w:lineRule="auto"/>
              <w:rPr>
                <w:rFonts w:hint="default" w:ascii="Times New Roman" w:hAnsi="Times New Roman" w:cs="Times New Roman"/>
                <w:b/>
                <w:bCs/>
                <w:color w:val="000000"/>
                <w:sz w:val="24"/>
                <w:highlight w:val="none"/>
              </w:rPr>
            </w:pPr>
            <w:r>
              <w:rPr>
                <w:rFonts w:hint="default" w:ascii="Times New Roman" w:hAnsi="Times New Roman" w:cs="Times New Roman"/>
                <w:b/>
                <w:bCs/>
                <w:color w:val="000000"/>
                <w:sz w:val="24"/>
                <w:highlight w:val="none"/>
              </w:rPr>
              <w:t>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default" w:ascii="Times New Roman" w:hAnsi="Times New Roman" w:cs="Times New Roman"/>
                <w:sz w:val="24"/>
                <w:highlight w:val="none"/>
              </w:rPr>
            </w:pPr>
            <w:r>
              <w:rPr>
                <w:rFonts w:hint="default" w:ascii="Times New Roman" w:hAnsi="Times New Roman" w:cs="Times New Roman"/>
                <w:sz w:val="24"/>
                <w:highlight w:val="none"/>
              </w:rPr>
              <w:t>（1）切实落实项目建设的“三同时”制度，严格落实评价提出的各项污染防治措施。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default" w:ascii="Times New Roman" w:hAnsi="Times New Roman" w:cs="Times New Roman"/>
                <w:sz w:val="24"/>
                <w:highlight w:val="none"/>
              </w:rPr>
            </w:pPr>
            <w:r>
              <w:rPr>
                <w:rFonts w:hint="default" w:ascii="Times New Roman" w:hAnsi="Times New Roman" w:cs="Times New Roman"/>
                <w:sz w:val="24"/>
                <w:highlight w:val="none"/>
              </w:rPr>
              <w:t>（2）加强生产车间管理，实施清洁生产管理，从源头抓起，确保环保设施正常运行，最大限度地减少污染物的排放量。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default" w:ascii="Times New Roman" w:hAnsi="Times New Roman" w:cs="Times New Roman"/>
                <w:sz w:val="24"/>
                <w:highlight w:val="none"/>
              </w:rPr>
            </w:pPr>
            <w:r>
              <w:rPr>
                <w:rFonts w:hint="default" w:ascii="Times New Roman" w:hAnsi="Times New Roman" w:cs="Times New Roman"/>
                <w:sz w:val="24"/>
                <w:highlight w:val="none"/>
              </w:rPr>
              <w:t>（3）加强厂区绿化、美化工作，保持厂区环境整洁、景观良好。</w:t>
            </w: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jc w:val="both"/>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kinsoku/>
              <w:wordWrap/>
              <w:overflowPunct/>
              <w:topLinePunct w:val="0"/>
              <w:bidi w:val="0"/>
              <w:adjustRightInd w:val="0"/>
              <w:snapToGrid/>
              <w:spacing w:line="360" w:lineRule="auto"/>
              <w:ind w:firstLine="482" w:firstLineChars="200"/>
              <w:jc w:val="center"/>
              <w:outlineLvl w:val="9"/>
              <w:rPr>
                <w:rFonts w:hint="default" w:ascii="Times New Roman" w:hAnsi="Times New Roman" w:cs="Times New Roman"/>
                <w:b/>
                <w:bCs/>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color w:val="000000"/>
                <w:sz w:val="24"/>
                <w:highlight w:val="none"/>
              </w:rPr>
            </w:pPr>
          </w:p>
        </w:tc>
      </w:tr>
    </w:tbl>
    <w:p>
      <w:pPr>
        <w:rPr>
          <w:highlight w:val="none"/>
        </w:rPr>
      </w:pPr>
      <w:r>
        <w:rPr>
          <w:highlight w:val="none"/>
        </w:rPr>
        <w:br w:type="page"/>
      </w:r>
    </w:p>
    <w:tbl>
      <w:tblPr>
        <w:tblStyle w:val="37"/>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84" w:type="dxa"/>
            <w:noWrap w:val="0"/>
            <w:vAlign w:val="top"/>
          </w:tcPr>
          <w:p>
            <w:pPr>
              <w:adjustRightInd w:val="0"/>
              <w:snapToGrid w:val="0"/>
              <w:spacing w:line="360" w:lineRule="auto"/>
              <w:ind w:firstLine="480" w:firstLineChars="200"/>
              <w:rPr>
                <w:b/>
                <w:color w:val="000000"/>
                <w:sz w:val="24"/>
                <w:highlight w:val="none"/>
              </w:rPr>
            </w:pPr>
            <w:r>
              <w:rPr>
                <w:color w:val="000000"/>
                <w:sz w:val="24"/>
                <w:highlight w:val="none"/>
              </w:rPr>
              <w:t>预审意见：</w:t>
            </w: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tabs>
                <w:tab w:val="left" w:pos="6210"/>
              </w:tabs>
              <w:adjustRightInd w:val="0"/>
              <w:snapToGrid w:val="0"/>
              <w:spacing w:line="360" w:lineRule="auto"/>
              <w:ind w:firstLine="482" w:firstLineChars="200"/>
              <w:rPr>
                <w:b/>
                <w:color w:val="000000"/>
                <w:sz w:val="24"/>
                <w:highlight w:val="none"/>
              </w:rPr>
            </w:pPr>
            <w:r>
              <w:rPr>
                <w:b/>
                <w:color w:val="000000"/>
                <w:sz w:val="24"/>
                <w:highlight w:val="none"/>
              </w:rPr>
              <w:tab/>
            </w: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color w:val="000000"/>
                <w:sz w:val="24"/>
                <w:highlight w:val="none"/>
              </w:rPr>
            </w:pPr>
            <w:r>
              <w:rPr>
                <w:b/>
                <w:color w:val="000000"/>
                <w:sz w:val="24"/>
                <w:highlight w:val="none"/>
              </w:rPr>
              <w:t xml:space="preserve">                                         </w:t>
            </w:r>
            <w:r>
              <w:rPr>
                <w:color w:val="000000"/>
                <w:sz w:val="24"/>
                <w:highlight w:val="none"/>
              </w:rPr>
              <w:t>公 章</w:t>
            </w: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r>
              <w:rPr>
                <w:color w:val="000000"/>
                <w:sz w:val="24"/>
                <w:highlight w:val="none"/>
              </w:rPr>
              <w:t>经办人                          年     月     日</w:t>
            </w:r>
          </w:p>
          <w:p>
            <w:pPr>
              <w:adjustRightInd w:val="0"/>
              <w:snapToGrid w:val="0"/>
              <w:spacing w:line="360" w:lineRule="auto"/>
              <w:ind w:firstLine="482" w:firstLineChars="200"/>
              <w:rPr>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84" w:type="dxa"/>
            <w:noWrap w:val="0"/>
            <w:vAlign w:val="top"/>
          </w:tcPr>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0" w:firstLineChars="200"/>
              <w:rPr>
                <w:b/>
                <w:color w:val="000000"/>
                <w:sz w:val="24"/>
                <w:highlight w:val="none"/>
              </w:rPr>
            </w:pPr>
            <w:r>
              <w:rPr>
                <w:color w:val="000000"/>
                <w:sz w:val="24"/>
                <w:highlight w:val="none"/>
              </w:rPr>
              <w:t>下一级环境保护主管部门审查意见：</w:t>
            </w: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pStyle w:val="9"/>
              <w:rPr>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482" w:firstLineChars="200"/>
              <w:rPr>
                <w:b/>
                <w:color w:val="000000"/>
                <w:sz w:val="24"/>
                <w:highlight w:val="none"/>
              </w:rPr>
            </w:pPr>
          </w:p>
          <w:p>
            <w:pPr>
              <w:adjustRightInd w:val="0"/>
              <w:snapToGrid w:val="0"/>
              <w:spacing w:line="360" w:lineRule="auto"/>
              <w:ind w:firstLine="5520" w:firstLineChars="2300"/>
              <w:rPr>
                <w:color w:val="000000"/>
                <w:sz w:val="24"/>
                <w:highlight w:val="none"/>
              </w:rPr>
            </w:pPr>
            <w:r>
              <w:rPr>
                <w:color w:val="000000"/>
                <w:sz w:val="24"/>
                <w:highlight w:val="none"/>
              </w:rPr>
              <w:t>公 章</w:t>
            </w:r>
            <w:r>
              <w:rPr>
                <w:rFonts w:hint="eastAsia"/>
                <w:color w:val="000000"/>
                <w:sz w:val="24"/>
                <w:highlight w:val="none"/>
              </w:rPr>
              <w:t xml:space="preserve"> </w:t>
            </w:r>
          </w:p>
          <w:p>
            <w:pPr>
              <w:adjustRightInd w:val="0"/>
              <w:snapToGrid w:val="0"/>
              <w:spacing w:line="360" w:lineRule="auto"/>
              <w:ind w:firstLine="482" w:firstLineChars="200"/>
              <w:rPr>
                <w:b/>
                <w:color w:val="000000"/>
                <w:sz w:val="24"/>
                <w:highlight w:val="none"/>
              </w:rPr>
            </w:pPr>
            <w:r>
              <w:rPr>
                <w:b/>
                <w:color w:val="000000"/>
                <w:sz w:val="24"/>
                <w:highlight w:val="none"/>
              </w:rPr>
              <w:t xml:space="preserve">  </w:t>
            </w:r>
          </w:p>
          <w:p>
            <w:pPr>
              <w:adjustRightInd w:val="0"/>
              <w:snapToGrid w:val="0"/>
              <w:spacing w:line="360" w:lineRule="auto"/>
              <w:ind w:firstLine="480" w:firstLineChars="200"/>
              <w:rPr>
                <w:color w:val="000000"/>
                <w:sz w:val="24"/>
                <w:highlight w:val="none"/>
              </w:rPr>
            </w:pPr>
            <w:r>
              <w:rPr>
                <w:color w:val="000000"/>
                <w:sz w:val="24"/>
                <w:highlight w:val="none"/>
              </w:rPr>
              <w:t xml:space="preserve">经办人                          </w:t>
            </w:r>
            <w:r>
              <w:rPr>
                <w:rFonts w:hint="eastAsia"/>
                <w:color w:val="000000"/>
                <w:sz w:val="24"/>
                <w:highlight w:val="none"/>
              </w:rPr>
              <w:t xml:space="preserve">     </w:t>
            </w:r>
            <w:r>
              <w:rPr>
                <w:color w:val="000000"/>
                <w:sz w:val="24"/>
                <w:highlight w:val="none"/>
              </w:rPr>
              <w:t xml:space="preserve"> 年    月     日</w:t>
            </w:r>
          </w:p>
          <w:p>
            <w:pPr>
              <w:adjustRightInd w:val="0"/>
              <w:snapToGrid w:val="0"/>
              <w:spacing w:line="360" w:lineRule="auto"/>
              <w:ind w:firstLine="480" w:firstLineChars="200"/>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84" w:type="dxa"/>
            <w:noWrap w:val="0"/>
            <w:vAlign w:val="top"/>
          </w:tcPr>
          <w:p>
            <w:pPr>
              <w:adjustRightInd w:val="0"/>
              <w:snapToGrid w:val="0"/>
              <w:spacing w:line="360" w:lineRule="auto"/>
              <w:ind w:firstLine="480" w:firstLineChars="200"/>
              <w:rPr>
                <w:color w:val="000000"/>
                <w:sz w:val="24"/>
                <w:highlight w:val="none"/>
              </w:rPr>
            </w:pPr>
            <w:r>
              <w:rPr>
                <w:color w:val="000000"/>
                <w:sz w:val="24"/>
                <w:highlight w:val="none"/>
              </w:rPr>
              <w:t>审批意见：</w:t>
            </w: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r>
              <w:rPr>
                <w:color w:val="000000"/>
                <w:sz w:val="24"/>
                <w:highlight w:val="none"/>
              </w:rPr>
              <w:t xml:space="preserve">                                   </w:t>
            </w:r>
            <w:r>
              <w:rPr>
                <w:rFonts w:hint="eastAsia"/>
                <w:color w:val="000000"/>
                <w:sz w:val="24"/>
                <w:highlight w:val="none"/>
              </w:rPr>
              <w:t xml:space="preserve">  </w:t>
            </w:r>
            <w:r>
              <w:rPr>
                <w:color w:val="000000"/>
                <w:sz w:val="24"/>
                <w:highlight w:val="none"/>
              </w:rPr>
              <w:t xml:space="preserve">      公  章</w:t>
            </w:r>
          </w:p>
          <w:p>
            <w:pPr>
              <w:adjustRightInd w:val="0"/>
              <w:snapToGrid w:val="0"/>
              <w:spacing w:line="360" w:lineRule="auto"/>
              <w:ind w:firstLine="480" w:firstLineChars="200"/>
              <w:rPr>
                <w:color w:val="000000"/>
                <w:sz w:val="24"/>
                <w:highlight w:val="none"/>
              </w:rPr>
            </w:pPr>
          </w:p>
          <w:p>
            <w:pPr>
              <w:adjustRightInd w:val="0"/>
              <w:snapToGrid w:val="0"/>
              <w:spacing w:line="360" w:lineRule="auto"/>
              <w:ind w:firstLine="480" w:firstLineChars="200"/>
              <w:rPr>
                <w:color w:val="000000"/>
                <w:sz w:val="24"/>
                <w:highlight w:val="none"/>
              </w:rPr>
            </w:pPr>
            <w:r>
              <w:rPr>
                <w:color w:val="000000"/>
                <w:sz w:val="24"/>
                <w:highlight w:val="none"/>
              </w:rPr>
              <w:t xml:space="preserve">经办人：                       </w:t>
            </w:r>
            <w:r>
              <w:rPr>
                <w:rFonts w:hint="eastAsia"/>
                <w:color w:val="000000"/>
                <w:sz w:val="24"/>
                <w:highlight w:val="none"/>
              </w:rPr>
              <w:t xml:space="preserve">        </w:t>
            </w:r>
            <w:r>
              <w:rPr>
                <w:color w:val="000000"/>
                <w:sz w:val="24"/>
                <w:highlight w:val="none"/>
              </w:rPr>
              <w:t xml:space="preserve">  年    月    日</w:t>
            </w:r>
          </w:p>
          <w:p>
            <w:pPr>
              <w:adjustRightInd w:val="0"/>
              <w:snapToGrid w:val="0"/>
              <w:spacing w:line="360" w:lineRule="auto"/>
              <w:ind w:firstLine="480" w:firstLineChars="200"/>
              <w:rPr>
                <w:color w:val="000000"/>
                <w:sz w:val="24"/>
                <w:highlight w:val="none"/>
              </w:rPr>
            </w:pPr>
          </w:p>
        </w:tc>
      </w:tr>
    </w:tbl>
    <w:p>
      <w:pPr>
        <w:rPr>
          <w:color w:val="000000"/>
          <w:sz w:val="10"/>
          <w:szCs w:val="10"/>
          <w:highlight w:val="none"/>
        </w:rPr>
      </w:pPr>
    </w:p>
    <w:tbl>
      <w:tblPr>
        <w:tblStyle w:val="37"/>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7" w:hRule="atLeast"/>
        </w:trPr>
        <w:tc>
          <w:tcPr>
            <w:tcW w:w="9084" w:type="dxa"/>
            <w:noWrap w:val="0"/>
            <w:vAlign w:val="top"/>
          </w:tcPr>
          <w:p>
            <w:pPr>
              <w:rPr>
                <w:color w:val="000000"/>
                <w:sz w:val="28"/>
                <w:highlight w:val="none"/>
              </w:rPr>
            </w:pPr>
          </w:p>
          <w:p>
            <w:pPr>
              <w:jc w:val="center"/>
              <w:rPr>
                <w:color w:val="000000"/>
                <w:sz w:val="44"/>
                <w:szCs w:val="44"/>
                <w:highlight w:val="none"/>
              </w:rPr>
            </w:pPr>
            <w:r>
              <w:rPr>
                <w:color w:val="000000"/>
                <w:sz w:val="44"/>
                <w:szCs w:val="44"/>
                <w:highlight w:val="none"/>
              </w:rPr>
              <w:t>注      释</w:t>
            </w:r>
          </w:p>
          <w:p>
            <w:pPr>
              <w:pStyle w:val="16"/>
              <w:spacing w:line="440" w:lineRule="exact"/>
              <w:rPr>
                <w:color w:val="000000"/>
                <w:highlight w:val="none"/>
              </w:rPr>
            </w:pPr>
          </w:p>
          <w:p>
            <w:pPr>
              <w:pStyle w:val="16"/>
              <w:spacing w:line="440" w:lineRule="exact"/>
              <w:ind w:firstLine="560" w:firstLineChars="200"/>
              <w:rPr>
                <w:color w:val="000000"/>
                <w:highlight w:val="none"/>
              </w:rPr>
            </w:pPr>
            <w:r>
              <w:rPr>
                <w:color w:val="000000"/>
                <w:highlight w:val="none"/>
              </w:rPr>
              <w:t>一、本报告表应附以下附图、附件：</w:t>
            </w:r>
          </w:p>
          <w:p>
            <w:pPr>
              <w:spacing w:line="440" w:lineRule="exact"/>
              <w:ind w:firstLine="570"/>
              <w:rPr>
                <w:color w:val="000000"/>
                <w:sz w:val="28"/>
                <w:highlight w:val="none"/>
              </w:rPr>
            </w:pPr>
            <w:r>
              <w:rPr>
                <w:color w:val="000000"/>
                <w:sz w:val="28"/>
                <w:highlight w:val="none"/>
              </w:rPr>
              <w:t>附图1  项目地理位置图</w:t>
            </w:r>
          </w:p>
          <w:p>
            <w:pPr>
              <w:spacing w:line="440" w:lineRule="exact"/>
              <w:ind w:firstLine="570"/>
              <w:rPr>
                <w:color w:val="000000"/>
                <w:sz w:val="28"/>
                <w:highlight w:val="none"/>
              </w:rPr>
            </w:pPr>
            <w:r>
              <w:rPr>
                <w:color w:val="000000"/>
                <w:sz w:val="28"/>
                <w:highlight w:val="none"/>
              </w:rPr>
              <w:t>附图2  项目周边关系图</w:t>
            </w:r>
          </w:p>
          <w:p>
            <w:pPr>
              <w:spacing w:line="440" w:lineRule="exact"/>
              <w:ind w:firstLine="570"/>
              <w:rPr>
                <w:color w:val="000000"/>
                <w:sz w:val="28"/>
                <w:highlight w:val="none"/>
              </w:rPr>
            </w:pPr>
            <w:r>
              <w:rPr>
                <w:color w:val="000000"/>
                <w:sz w:val="28"/>
                <w:highlight w:val="none"/>
              </w:rPr>
              <w:t>附图3  项目平面布置</w:t>
            </w:r>
            <w:r>
              <w:rPr>
                <w:rFonts w:hint="eastAsia"/>
                <w:color w:val="000000"/>
                <w:sz w:val="28"/>
                <w:highlight w:val="none"/>
                <w:lang w:eastAsia="zh-CN"/>
              </w:rPr>
              <w:t>及周边关系</w:t>
            </w:r>
            <w:r>
              <w:rPr>
                <w:color w:val="000000"/>
                <w:sz w:val="28"/>
                <w:highlight w:val="none"/>
              </w:rPr>
              <w:t>图</w:t>
            </w:r>
          </w:p>
          <w:p>
            <w:pPr>
              <w:spacing w:line="440" w:lineRule="exact"/>
              <w:ind w:firstLine="570"/>
              <w:rPr>
                <w:color w:val="000000"/>
                <w:sz w:val="28"/>
                <w:highlight w:val="none"/>
              </w:rPr>
            </w:pPr>
          </w:p>
          <w:p>
            <w:pPr>
              <w:spacing w:line="440" w:lineRule="exact"/>
              <w:ind w:firstLine="570"/>
              <w:rPr>
                <w:rFonts w:hint="eastAsia" w:eastAsia="宋体"/>
                <w:color w:val="000000"/>
                <w:sz w:val="28"/>
                <w:highlight w:val="none"/>
                <w:lang w:val="en-US" w:eastAsia="zh-CN"/>
              </w:rPr>
            </w:pPr>
            <w:r>
              <w:rPr>
                <w:color w:val="000000"/>
                <w:sz w:val="28"/>
                <w:highlight w:val="none"/>
              </w:rPr>
              <w:t xml:space="preserve">附件1  </w:t>
            </w:r>
            <w:r>
              <w:rPr>
                <w:rFonts w:hint="eastAsia"/>
                <w:color w:val="000000"/>
                <w:sz w:val="28"/>
                <w:highlight w:val="none"/>
                <w:lang w:eastAsia="zh-CN"/>
              </w:rPr>
              <w:t>备案信息</w:t>
            </w:r>
          </w:p>
          <w:p>
            <w:pPr>
              <w:spacing w:line="440" w:lineRule="exact"/>
              <w:ind w:firstLine="570"/>
              <w:rPr>
                <w:color w:val="000000"/>
                <w:sz w:val="28"/>
                <w:highlight w:val="none"/>
              </w:rPr>
            </w:pPr>
            <w:r>
              <w:rPr>
                <w:color w:val="000000"/>
                <w:sz w:val="28"/>
                <w:highlight w:val="none"/>
              </w:rPr>
              <w:t>附件</w:t>
            </w:r>
            <w:r>
              <w:rPr>
                <w:rFonts w:hint="eastAsia"/>
                <w:color w:val="000000"/>
                <w:sz w:val="28"/>
                <w:highlight w:val="none"/>
                <w:lang w:val="en-US" w:eastAsia="zh-CN"/>
              </w:rPr>
              <w:t>2</w:t>
            </w:r>
            <w:r>
              <w:rPr>
                <w:color w:val="000000"/>
                <w:sz w:val="28"/>
                <w:highlight w:val="none"/>
              </w:rPr>
              <w:t xml:space="preserve">  营业执照</w:t>
            </w:r>
          </w:p>
          <w:p>
            <w:pPr>
              <w:spacing w:line="440" w:lineRule="exact"/>
              <w:ind w:firstLine="570"/>
              <w:rPr>
                <w:rFonts w:hint="eastAsia" w:eastAsia="宋体"/>
                <w:color w:val="000000"/>
                <w:sz w:val="28"/>
                <w:highlight w:val="none"/>
                <w:lang w:val="en-US" w:eastAsia="zh-CN"/>
              </w:rPr>
            </w:pPr>
            <w:r>
              <w:rPr>
                <w:color w:val="000000"/>
                <w:sz w:val="28"/>
                <w:highlight w:val="none"/>
              </w:rPr>
              <w:t>附件</w:t>
            </w:r>
            <w:r>
              <w:rPr>
                <w:rFonts w:hint="eastAsia"/>
                <w:color w:val="000000"/>
                <w:sz w:val="28"/>
                <w:highlight w:val="none"/>
                <w:lang w:val="en-US" w:eastAsia="zh-CN"/>
              </w:rPr>
              <w:t>3</w:t>
            </w:r>
            <w:r>
              <w:rPr>
                <w:color w:val="000000"/>
                <w:sz w:val="28"/>
                <w:highlight w:val="none"/>
              </w:rPr>
              <w:t xml:space="preserve">  </w:t>
            </w:r>
            <w:r>
              <w:rPr>
                <w:rFonts w:hint="eastAsia"/>
                <w:color w:val="000000"/>
                <w:sz w:val="28"/>
                <w:highlight w:val="none"/>
                <w:lang w:eastAsia="zh-CN"/>
              </w:rPr>
              <w:t>土地证</w:t>
            </w:r>
          </w:p>
          <w:p>
            <w:pPr>
              <w:spacing w:line="440" w:lineRule="exact"/>
              <w:ind w:firstLine="570"/>
              <w:rPr>
                <w:rFonts w:hint="eastAsia"/>
                <w:color w:val="000000"/>
                <w:sz w:val="28"/>
                <w:highlight w:val="none"/>
                <w:lang w:val="en-US" w:eastAsia="zh-CN"/>
              </w:rPr>
            </w:pPr>
            <w:r>
              <w:rPr>
                <w:rFonts w:hint="eastAsia"/>
                <w:color w:val="000000"/>
                <w:sz w:val="28"/>
                <w:highlight w:val="none"/>
                <w:lang w:eastAsia="zh-CN"/>
              </w:rPr>
              <w:t>附件</w:t>
            </w:r>
            <w:r>
              <w:rPr>
                <w:rFonts w:hint="eastAsia"/>
                <w:color w:val="000000"/>
                <w:sz w:val="28"/>
                <w:highlight w:val="none"/>
                <w:lang w:val="en-US" w:eastAsia="zh-CN"/>
              </w:rPr>
              <w:t>4  证明</w:t>
            </w:r>
          </w:p>
          <w:p>
            <w:pPr>
              <w:spacing w:line="440" w:lineRule="exact"/>
              <w:ind w:firstLine="570"/>
              <w:rPr>
                <w:rFonts w:hint="eastAsia"/>
                <w:color w:val="000000"/>
                <w:sz w:val="28"/>
                <w:highlight w:val="none"/>
                <w:lang w:val="en-US" w:eastAsia="zh-CN"/>
              </w:rPr>
            </w:pPr>
          </w:p>
          <w:p>
            <w:pPr>
              <w:spacing w:line="440" w:lineRule="exact"/>
              <w:rPr>
                <w:color w:val="000000"/>
                <w:sz w:val="28"/>
                <w:highlight w:val="none"/>
              </w:rPr>
            </w:pPr>
          </w:p>
          <w:p>
            <w:pPr>
              <w:spacing w:line="440" w:lineRule="exact"/>
              <w:ind w:firstLine="700" w:firstLineChars="250"/>
              <w:rPr>
                <w:color w:val="000000"/>
                <w:sz w:val="28"/>
                <w:highlight w:val="none"/>
              </w:rPr>
            </w:pPr>
            <w:r>
              <w:rPr>
                <w:color w:val="000000"/>
                <w:sz w:val="28"/>
                <w:highlight w:val="none"/>
              </w:rPr>
              <w:t>二、本报告表能说明项目产生的污染及对环境造成的影响，不进行专项评价。</w:t>
            </w:r>
          </w:p>
          <w:p>
            <w:pPr>
              <w:rPr>
                <w:color w:val="000000"/>
                <w:sz w:val="28"/>
                <w:highlight w:val="none"/>
              </w:rPr>
            </w:pPr>
          </w:p>
          <w:p>
            <w:pPr>
              <w:rPr>
                <w:color w:val="000000"/>
                <w:sz w:val="28"/>
                <w:highlight w:val="none"/>
              </w:rPr>
            </w:pPr>
          </w:p>
          <w:p>
            <w:pPr>
              <w:rPr>
                <w:color w:val="000000"/>
                <w:sz w:val="28"/>
                <w:highlight w:val="none"/>
              </w:rPr>
            </w:pPr>
          </w:p>
          <w:p>
            <w:pPr>
              <w:rPr>
                <w:color w:val="000000"/>
                <w:sz w:val="10"/>
                <w:szCs w:val="10"/>
                <w:highlight w:val="none"/>
              </w:rPr>
            </w:pPr>
          </w:p>
        </w:tc>
      </w:tr>
    </w:tbl>
    <w:p>
      <w:pPr>
        <w:rPr>
          <w:color w:val="000000"/>
          <w:sz w:val="10"/>
          <w:szCs w:val="10"/>
          <w:highlight w:val="none"/>
        </w:rPr>
      </w:pPr>
    </w:p>
    <w:sectPr>
      <w:pgSz w:w="11906" w:h="16838"/>
      <w:pgMar w:top="1418" w:right="1418" w:bottom="1418" w:left="1620" w:header="1021" w:footer="907"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Impact">
    <w:panose1 w:val="020B080603090205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華康中黑體">
    <w:altName w:val="Microsoft JhengHei"/>
    <w:panose1 w:val="02010609000101010101"/>
    <w:charset w:val="88"/>
    <w:family w:val="modern"/>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rPr>
        <w:rStyle w:val="33"/>
      </w:rPr>
      <w:instrText xml:space="preserve"> PAGE </w:instrText>
    </w:r>
    <w:r>
      <w:fldChar w:fldCharType="separate"/>
    </w:r>
    <w:r>
      <w:rPr>
        <w:rStyle w:val="33"/>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6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852AE"/>
    <w:multiLevelType w:val="singleLevel"/>
    <w:tmpl w:val="8F6852AE"/>
    <w:lvl w:ilvl="0" w:tentative="0">
      <w:start w:val="3"/>
      <w:numFmt w:val="decimal"/>
      <w:suff w:val="nothing"/>
      <w:lvlText w:val="%1、"/>
      <w:lvlJc w:val="left"/>
    </w:lvl>
  </w:abstractNum>
  <w:abstractNum w:abstractNumId="1">
    <w:nsid w:val="1429E352"/>
    <w:multiLevelType w:val="singleLevel"/>
    <w:tmpl w:val="1429E352"/>
    <w:lvl w:ilvl="0" w:tentative="0">
      <w:start w:val="10"/>
      <w:numFmt w:val="decimal"/>
      <w:suff w:val="nothing"/>
      <w:lvlText w:val="%1、"/>
      <w:lvlJc w:val="left"/>
    </w:lvl>
  </w:abstractNum>
  <w:abstractNum w:abstractNumId="2">
    <w:nsid w:val="5928DCCD"/>
    <w:multiLevelType w:val="singleLevel"/>
    <w:tmpl w:val="5928DCCD"/>
    <w:lvl w:ilvl="0" w:tentative="0">
      <w:start w:val="3"/>
      <w:numFmt w:val="decimal"/>
      <w:suff w:val="nothing"/>
      <w:lvlText w:val="%1、"/>
      <w:lvlJc w:val="left"/>
    </w:lvl>
  </w:abstractNum>
  <w:abstractNum w:abstractNumId="3">
    <w:nsid w:val="593F50F8"/>
    <w:multiLevelType w:val="singleLevel"/>
    <w:tmpl w:val="593F50F8"/>
    <w:lvl w:ilvl="0" w:tentative="0">
      <w:start w:val="1"/>
      <w:numFmt w:val="chineseCounting"/>
      <w:suff w:val="nothing"/>
      <w:lvlText w:val="%1、"/>
      <w:lvlJc w:val="left"/>
    </w:lvl>
  </w:abstractNum>
  <w:abstractNum w:abstractNumId="4">
    <w:nsid w:val="653B55F1"/>
    <w:multiLevelType w:val="multilevel"/>
    <w:tmpl w:val="653B55F1"/>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465"/>
    <w:rsid w:val="0000004C"/>
    <w:rsid w:val="00001459"/>
    <w:rsid w:val="000015E3"/>
    <w:rsid w:val="00001656"/>
    <w:rsid w:val="000016E4"/>
    <w:rsid w:val="00001C73"/>
    <w:rsid w:val="00001F77"/>
    <w:rsid w:val="00002375"/>
    <w:rsid w:val="00002489"/>
    <w:rsid w:val="00002551"/>
    <w:rsid w:val="0000262D"/>
    <w:rsid w:val="00002A19"/>
    <w:rsid w:val="0000305C"/>
    <w:rsid w:val="00003098"/>
    <w:rsid w:val="00003339"/>
    <w:rsid w:val="0000393E"/>
    <w:rsid w:val="000044D5"/>
    <w:rsid w:val="00004582"/>
    <w:rsid w:val="00004774"/>
    <w:rsid w:val="000047C3"/>
    <w:rsid w:val="00005006"/>
    <w:rsid w:val="00005A89"/>
    <w:rsid w:val="000065B7"/>
    <w:rsid w:val="00006A6B"/>
    <w:rsid w:val="00006AE1"/>
    <w:rsid w:val="00006D28"/>
    <w:rsid w:val="00006E03"/>
    <w:rsid w:val="00006F18"/>
    <w:rsid w:val="000070AA"/>
    <w:rsid w:val="0000739B"/>
    <w:rsid w:val="00007737"/>
    <w:rsid w:val="00007EC2"/>
    <w:rsid w:val="00010066"/>
    <w:rsid w:val="0001047F"/>
    <w:rsid w:val="000109ED"/>
    <w:rsid w:val="00010C17"/>
    <w:rsid w:val="0001129D"/>
    <w:rsid w:val="00011932"/>
    <w:rsid w:val="00011F73"/>
    <w:rsid w:val="0001248A"/>
    <w:rsid w:val="0001252C"/>
    <w:rsid w:val="0001298E"/>
    <w:rsid w:val="00012B57"/>
    <w:rsid w:val="00012B86"/>
    <w:rsid w:val="00012BD8"/>
    <w:rsid w:val="00012CAB"/>
    <w:rsid w:val="00013297"/>
    <w:rsid w:val="00013859"/>
    <w:rsid w:val="00013B6D"/>
    <w:rsid w:val="00013CE9"/>
    <w:rsid w:val="00014213"/>
    <w:rsid w:val="00014A7A"/>
    <w:rsid w:val="00014B37"/>
    <w:rsid w:val="00015B37"/>
    <w:rsid w:val="000165E9"/>
    <w:rsid w:val="00016A10"/>
    <w:rsid w:val="00016A78"/>
    <w:rsid w:val="00016D91"/>
    <w:rsid w:val="00016EBA"/>
    <w:rsid w:val="0001704D"/>
    <w:rsid w:val="0001721D"/>
    <w:rsid w:val="000174FD"/>
    <w:rsid w:val="0001772A"/>
    <w:rsid w:val="00017A35"/>
    <w:rsid w:val="00017B62"/>
    <w:rsid w:val="0002011A"/>
    <w:rsid w:val="0002062D"/>
    <w:rsid w:val="000209C1"/>
    <w:rsid w:val="00020BE0"/>
    <w:rsid w:val="000213D0"/>
    <w:rsid w:val="00021510"/>
    <w:rsid w:val="000216DC"/>
    <w:rsid w:val="00021B41"/>
    <w:rsid w:val="00021C09"/>
    <w:rsid w:val="00022145"/>
    <w:rsid w:val="00022458"/>
    <w:rsid w:val="000225B2"/>
    <w:rsid w:val="00022796"/>
    <w:rsid w:val="000228D4"/>
    <w:rsid w:val="00022D43"/>
    <w:rsid w:val="00023119"/>
    <w:rsid w:val="000231AF"/>
    <w:rsid w:val="00023315"/>
    <w:rsid w:val="000236D8"/>
    <w:rsid w:val="00023B9B"/>
    <w:rsid w:val="00023C5B"/>
    <w:rsid w:val="00023ED3"/>
    <w:rsid w:val="000244BC"/>
    <w:rsid w:val="00024B66"/>
    <w:rsid w:val="00024D2C"/>
    <w:rsid w:val="00024D56"/>
    <w:rsid w:val="00025273"/>
    <w:rsid w:val="0002530A"/>
    <w:rsid w:val="00025334"/>
    <w:rsid w:val="000253E9"/>
    <w:rsid w:val="000254C0"/>
    <w:rsid w:val="00025684"/>
    <w:rsid w:val="00025D2F"/>
    <w:rsid w:val="00025F7C"/>
    <w:rsid w:val="00026300"/>
    <w:rsid w:val="0002646E"/>
    <w:rsid w:val="000266D9"/>
    <w:rsid w:val="00026941"/>
    <w:rsid w:val="00026A15"/>
    <w:rsid w:val="00027507"/>
    <w:rsid w:val="00027868"/>
    <w:rsid w:val="00027889"/>
    <w:rsid w:val="00027AB8"/>
    <w:rsid w:val="00027EED"/>
    <w:rsid w:val="0003008F"/>
    <w:rsid w:val="00030750"/>
    <w:rsid w:val="0003081A"/>
    <w:rsid w:val="00030B03"/>
    <w:rsid w:val="00030B28"/>
    <w:rsid w:val="00031039"/>
    <w:rsid w:val="00031245"/>
    <w:rsid w:val="0003133D"/>
    <w:rsid w:val="000314D3"/>
    <w:rsid w:val="00031882"/>
    <w:rsid w:val="000318B2"/>
    <w:rsid w:val="000318D5"/>
    <w:rsid w:val="00031BE4"/>
    <w:rsid w:val="00031C50"/>
    <w:rsid w:val="00031D23"/>
    <w:rsid w:val="0003202D"/>
    <w:rsid w:val="000322C8"/>
    <w:rsid w:val="00032F6D"/>
    <w:rsid w:val="000330DE"/>
    <w:rsid w:val="00033C65"/>
    <w:rsid w:val="00033E71"/>
    <w:rsid w:val="00033F8C"/>
    <w:rsid w:val="000340C4"/>
    <w:rsid w:val="00034504"/>
    <w:rsid w:val="000345D3"/>
    <w:rsid w:val="0003466D"/>
    <w:rsid w:val="000348F1"/>
    <w:rsid w:val="00034936"/>
    <w:rsid w:val="00034E2C"/>
    <w:rsid w:val="000350E5"/>
    <w:rsid w:val="000356CC"/>
    <w:rsid w:val="0003583B"/>
    <w:rsid w:val="00035CBE"/>
    <w:rsid w:val="00036EB5"/>
    <w:rsid w:val="000371FF"/>
    <w:rsid w:val="0003734D"/>
    <w:rsid w:val="00037478"/>
    <w:rsid w:val="00037B11"/>
    <w:rsid w:val="00037B45"/>
    <w:rsid w:val="00037F39"/>
    <w:rsid w:val="000408EE"/>
    <w:rsid w:val="00040F22"/>
    <w:rsid w:val="00041212"/>
    <w:rsid w:val="00041331"/>
    <w:rsid w:val="000417B4"/>
    <w:rsid w:val="00041B40"/>
    <w:rsid w:val="000425A3"/>
    <w:rsid w:val="000427D6"/>
    <w:rsid w:val="00042BC4"/>
    <w:rsid w:val="00043241"/>
    <w:rsid w:val="000434BE"/>
    <w:rsid w:val="00043941"/>
    <w:rsid w:val="000439A5"/>
    <w:rsid w:val="00043B78"/>
    <w:rsid w:val="000443FF"/>
    <w:rsid w:val="00044C41"/>
    <w:rsid w:val="000451CB"/>
    <w:rsid w:val="00045233"/>
    <w:rsid w:val="0004540D"/>
    <w:rsid w:val="000454B4"/>
    <w:rsid w:val="00045A9D"/>
    <w:rsid w:val="0004675B"/>
    <w:rsid w:val="00046BAF"/>
    <w:rsid w:val="00046C4A"/>
    <w:rsid w:val="00046EB7"/>
    <w:rsid w:val="00046F93"/>
    <w:rsid w:val="0004737F"/>
    <w:rsid w:val="0004786D"/>
    <w:rsid w:val="000478BF"/>
    <w:rsid w:val="00047C6A"/>
    <w:rsid w:val="00047D9C"/>
    <w:rsid w:val="000504BE"/>
    <w:rsid w:val="000504D9"/>
    <w:rsid w:val="00050696"/>
    <w:rsid w:val="00050A34"/>
    <w:rsid w:val="00050CFE"/>
    <w:rsid w:val="000513D5"/>
    <w:rsid w:val="00051C53"/>
    <w:rsid w:val="00052204"/>
    <w:rsid w:val="00052530"/>
    <w:rsid w:val="00052953"/>
    <w:rsid w:val="00052A82"/>
    <w:rsid w:val="00052A90"/>
    <w:rsid w:val="00052E78"/>
    <w:rsid w:val="00053704"/>
    <w:rsid w:val="000537B9"/>
    <w:rsid w:val="000541CE"/>
    <w:rsid w:val="00054474"/>
    <w:rsid w:val="00054503"/>
    <w:rsid w:val="00054E08"/>
    <w:rsid w:val="0005503D"/>
    <w:rsid w:val="00055166"/>
    <w:rsid w:val="0005516B"/>
    <w:rsid w:val="000551A9"/>
    <w:rsid w:val="000556E2"/>
    <w:rsid w:val="000560D0"/>
    <w:rsid w:val="0005660A"/>
    <w:rsid w:val="00056B9A"/>
    <w:rsid w:val="00057289"/>
    <w:rsid w:val="00057657"/>
    <w:rsid w:val="00057D30"/>
    <w:rsid w:val="000604A9"/>
    <w:rsid w:val="0006078A"/>
    <w:rsid w:val="00060C00"/>
    <w:rsid w:val="00060DB2"/>
    <w:rsid w:val="00060FEB"/>
    <w:rsid w:val="000619C6"/>
    <w:rsid w:val="00061BC2"/>
    <w:rsid w:val="00061ECA"/>
    <w:rsid w:val="00061FB0"/>
    <w:rsid w:val="000623DF"/>
    <w:rsid w:val="000626C4"/>
    <w:rsid w:val="000626CA"/>
    <w:rsid w:val="00062711"/>
    <w:rsid w:val="0006277F"/>
    <w:rsid w:val="00062891"/>
    <w:rsid w:val="00062AEE"/>
    <w:rsid w:val="00062B95"/>
    <w:rsid w:val="000635DE"/>
    <w:rsid w:val="000636FF"/>
    <w:rsid w:val="00063A3E"/>
    <w:rsid w:val="00063AE2"/>
    <w:rsid w:val="00063B8A"/>
    <w:rsid w:val="00064012"/>
    <w:rsid w:val="0006405A"/>
    <w:rsid w:val="0006460F"/>
    <w:rsid w:val="000651A6"/>
    <w:rsid w:val="000652D5"/>
    <w:rsid w:val="00065312"/>
    <w:rsid w:val="00065C06"/>
    <w:rsid w:val="000660F1"/>
    <w:rsid w:val="000661B8"/>
    <w:rsid w:val="00066749"/>
    <w:rsid w:val="00066FE5"/>
    <w:rsid w:val="0006718F"/>
    <w:rsid w:val="0006748F"/>
    <w:rsid w:val="0006795E"/>
    <w:rsid w:val="00067C2B"/>
    <w:rsid w:val="00070059"/>
    <w:rsid w:val="00070173"/>
    <w:rsid w:val="00070679"/>
    <w:rsid w:val="00070952"/>
    <w:rsid w:val="00070B32"/>
    <w:rsid w:val="00071388"/>
    <w:rsid w:val="00071EFE"/>
    <w:rsid w:val="00072BA3"/>
    <w:rsid w:val="00073045"/>
    <w:rsid w:val="0007310A"/>
    <w:rsid w:val="00073596"/>
    <w:rsid w:val="00073607"/>
    <w:rsid w:val="00073A60"/>
    <w:rsid w:val="00073B0B"/>
    <w:rsid w:val="00073F42"/>
    <w:rsid w:val="00074379"/>
    <w:rsid w:val="00074C85"/>
    <w:rsid w:val="00075363"/>
    <w:rsid w:val="0007570A"/>
    <w:rsid w:val="00075D48"/>
    <w:rsid w:val="00075E8F"/>
    <w:rsid w:val="000763D3"/>
    <w:rsid w:val="000763F0"/>
    <w:rsid w:val="00076544"/>
    <w:rsid w:val="000766E8"/>
    <w:rsid w:val="00076C53"/>
    <w:rsid w:val="00076C71"/>
    <w:rsid w:val="00076F7D"/>
    <w:rsid w:val="00076FE4"/>
    <w:rsid w:val="0007718A"/>
    <w:rsid w:val="000776AD"/>
    <w:rsid w:val="0007771F"/>
    <w:rsid w:val="000778C0"/>
    <w:rsid w:val="00077C3E"/>
    <w:rsid w:val="00077FC5"/>
    <w:rsid w:val="000802D7"/>
    <w:rsid w:val="00080539"/>
    <w:rsid w:val="0008059E"/>
    <w:rsid w:val="0008112B"/>
    <w:rsid w:val="0008184A"/>
    <w:rsid w:val="000818B6"/>
    <w:rsid w:val="00081987"/>
    <w:rsid w:val="00081BAD"/>
    <w:rsid w:val="00082136"/>
    <w:rsid w:val="00082196"/>
    <w:rsid w:val="000822B4"/>
    <w:rsid w:val="000827CB"/>
    <w:rsid w:val="000829D5"/>
    <w:rsid w:val="00082A62"/>
    <w:rsid w:val="000837A3"/>
    <w:rsid w:val="000837AD"/>
    <w:rsid w:val="0008389B"/>
    <w:rsid w:val="00083967"/>
    <w:rsid w:val="00083A90"/>
    <w:rsid w:val="000843AC"/>
    <w:rsid w:val="000844AD"/>
    <w:rsid w:val="00085398"/>
    <w:rsid w:val="00085497"/>
    <w:rsid w:val="0008580F"/>
    <w:rsid w:val="0008621C"/>
    <w:rsid w:val="000865C5"/>
    <w:rsid w:val="000866F8"/>
    <w:rsid w:val="00086864"/>
    <w:rsid w:val="00086B64"/>
    <w:rsid w:val="00086DE9"/>
    <w:rsid w:val="00086FBB"/>
    <w:rsid w:val="0008730C"/>
    <w:rsid w:val="00087851"/>
    <w:rsid w:val="00087895"/>
    <w:rsid w:val="00087B0F"/>
    <w:rsid w:val="000908AA"/>
    <w:rsid w:val="00090B41"/>
    <w:rsid w:val="000913A2"/>
    <w:rsid w:val="00091756"/>
    <w:rsid w:val="000919FF"/>
    <w:rsid w:val="00091DD7"/>
    <w:rsid w:val="0009283A"/>
    <w:rsid w:val="00092906"/>
    <w:rsid w:val="00092A1C"/>
    <w:rsid w:val="00092BED"/>
    <w:rsid w:val="00092EA2"/>
    <w:rsid w:val="0009323C"/>
    <w:rsid w:val="000934E0"/>
    <w:rsid w:val="0009369C"/>
    <w:rsid w:val="000940B3"/>
    <w:rsid w:val="00094283"/>
    <w:rsid w:val="0009434E"/>
    <w:rsid w:val="000944F5"/>
    <w:rsid w:val="00094A0B"/>
    <w:rsid w:val="00094A3A"/>
    <w:rsid w:val="00094D60"/>
    <w:rsid w:val="00094F1B"/>
    <w:rsid w:val="00094F35"/>
    <w:rsid w:val="00095129"/>
    <w:rsid w:val="000951B2"/>
    <w:rsid w:val="00095658"/>
    <w:rsid w:val="00095858"/>
    <w:rsid w:val="00095879"/>
    <w:rsid w:val="00095DA6"/>
    <w:rsid w:val="00095F51"/>
    <w:rsid w:val="00096184"/>
    <w:rsid w:val="00096789"/>
    <w:rsid w:val="000968AB"/>
    <w:rsid w:val="00096A24"/>
    <w:rsid w:val="00096CB1"/>
    <w:rsid w:val="0009710F"/>
    <w:rsid w:val="00097372"/>
    <w:rsid w:val="0009739C"/>
    <w:rsid w:val="00097ADD"/>
    <w:rsid w:val="000A0064"/>
    <w:rsid w:val="000A0797"/>
    <w:rsid w:val="000A0C2B"/>
    <w:rsid w:val="000A0D87"/>
    <w:rsid w:val="000A113C"/>
    <w:rsid w:val="000A1376"/>
    <w:rsid w:val="000A14A9"/>
    <w:rsid w:val="000A26A4"/>
    <w:rsid w:val="000A27ED"/>
    <w:rsid w:val="000A2EEE"/>
    <w:rsid w:val="000A3062"/>
    <w:rsid w:val="000A392B"/>
    <w:rsid w:val="000A3A92"/>
    <w:rsid w:val="000A3B96"/>
    <w:rsid w:val="000A3BA4"/>
    <w:rsid w:val="000A3BC6"/>
    <w:rsid w:val="000A4312"/>
    <w:rsid w:val="000A4369"/>
    <w:rsid w:val="000A437A"/>
    <w:rsid w:val="000A478F"/>
    <w:rsid w:val="000A4D36"/>
    <w:rsid w:val="000A4DB2"/>
    <w:rsid w:val="000A5D36"/>
    <w:rsid w:val="000A6039"/>
    <w:rsid w:val="000A6242"/>
    <w:rsid w:val="000A6D03"/>
    <w:rsid w:val="000A6E47"/>
    <w:rsid w:val="000A70BA"/>
    <w:rsid w:val="000A7AC7"/>
    <w:rsid w:val="000A7F75"/>
    <w:rsid w:val="000A7FCA"/>
    <w:rsid w:val="000B037B"/>
    <w:rsid w:val="000B07DF"/>
    <w:rsid w:val="000B080E"/>
    <w:rsid w:val="000B192F"/>
    <w:rsid w:val="000B1B58"/>
    <w:rsid w:val="000B1E96"/>
    <w:rsid w:val="000B2039"/>
    <w:rsid w:val="000B215F"/>
    <w:rsid w:val="000B21E3"/>
    <w:rsid w:val="000B26B3"/>
    <w:rsid w:val="000B272C"/>
    <w:rsid w:val="000B2A10"/>
    <w:rsid w:val="000B2BB5"/>
    <w:rsid w:val="000B3068"/>
    <w:rsid w:val="000B330E"/>
    <w:rsid w:val="000B36E4"/>
    <w:rsid w:val="000B3C7E"/>
    <w:rsid w:val="000B427A"/>
    <w:rsid w:val="000B469C"/>
    <w:rsid w:val="000B4749"/>
    <w:rsid w:val="000B4888"/>
    <w:rsid w:val="000B549B"/>
    <w:rsid w:val="000B5508"/>
    <w:rsid w:val="000B6062"/>
    <w:rsid w:val="000B6067"/>
    <w:rsid w:val="000B6573"/>
    <w:rsid w:val="000B68D8"/>
    <w:rsid w:val="000B6BD0"/>
    <w:rsid w:val="000B6DDC"/>
    <w:rsid w:val="000B7181"/>
    <w:rsid w:val="000B7BA3"/>
    <w:rsid w:val="000B7DE2"/>
    <w:rsid w:val="000C0437"/>
    <w:rsid w:val="000C0508"/>
    <w:rsid w:val="000C0592"/>
    <w:rsid w:val="000C0A2C"/>
    <w:rsid w:val="000C0A87"/>
    <w:rsid w:val="000C118C"/>
    <w:rsid w:val="000C1CF8"/>
    <w:rsid w:val="000C24D2"/>
    <w:rsid w:val="000C2617"/>
    <w:rsid w:val="000C3AB2"/>
    <w:rsid w:val="000C3C5A"/>
    <w:rsid w:val="000C3EF7"/>
    <w:rsid w:val="000C4094"/>
    <w:rsid w:val="000C42A3"/>
    <w:rsid w:val="000C42EF"/>
    <w:rsid w:val="000C464B"/>
    <w:rsid w:val="000C4CBB"/>
    <w:rsid w:val="000C4F24"/>
    <w:rsid w:val="000C5184"/>
    <w:rsid w:val="000C5218"/>
    <w:rsid w:val="000C53EF"/>
    <w:rsid w:val="000C541D"/>
    <w:rsid w:val="000C5664"/>
    <w:rsid w:val="000C5746"/>
    <w:rsid w:val="000C5B59"/>
    <w:rsid w:val="000C6097"/>
    <w:rsid w:val="000C62FD"/>
    <w:rsid w:val="000C632B"/>
    <w:rsid w:val="000C6741"/>
    <w:rsid w:val="000C681C"/>
    <w:rsid w:val="000C6A6E"/>
    <w:rsid w:val="000C6ECE"/>
    <w:rsid w:val="000C7101"/>
    <w:rsid w:val="000C736D"/>
    <w:rsid w:val="000C7EE6"/>
    <w:rsid w:val="000D057B"/>
    <w:rsid w:val="000D05CB"/>
    <w:rsid w:val="000D0762"/>
    <w:rsid w:val="000D07D4"/>
    <w:rsid w:val="000D09A2"/>
    <w:rsid w:val="000D0C92"/>
    <w:rsid w:val="000D178F"/>
    <w:rsid w:val="000D19EA"/>
    <w:rsid w:val="000D1A39"/>
    <w:rsid w:val="000D2197"/>
    <w:rsid w:val="000D22B4"/>
    <w:rsid w:val="000D2478"/>
    <w:rsid w:val="000D264B"/>
    <w:rsid w:val="000D27C4"/>
    <w:rsid w:val="000D2801"/>
    <w:rsid w:val="000D2901"/>
    <w:rsid w:val="000D2C81"/>
    <w:rsid w:val="000D2E5A"/>
    <w:rsid w:val="000D35FB"/>
    <w:rsid w:val="000D3AA9"/>
    <w:rsid w:val="000D3E04"/>
    <w:rsid w:val="000D4019"/>
    <w:rsid w:val="000D455C"/>
    <w:rsid w:val="000D47A3"/>
    <w:rsid w:val="000D4AE4"/>
    <w:rsid w:val="000D4F5C"/>
    <w:rsid w:val="000D53F5"/>
    <w:rsid w:val="000D56E2"/>
    <w:rsid w:val="000D5CB5"/>
    <w:rsid w:val="000D6208"/>
    <w:rsid w:val="000D669E"/>
    <w:rsid w:val="000D6A52"/>
    <w:rsid w:val="000D6B13"/>
    <w:rsid w:val="000D6E77"/>
    <w:rsid w:val="000D716C"/>
    <w:rsid w:val="000D7175"/>
    <w:rsid w:val="000D7719"/>
    <w:rsid w:val="000D7C75"/>
    <w:rsid w:val="000E0163"/>
    <w:rsid w:val="000E0B00"/>
    <w:rsid w:val="000E1C13"/>
    <w:rsid w:val="000E1F55"/>
    <w:rsid w:val="000E2341"/>
    <w:rsid w:val="000E293D"/>
    <w:rsid w:val="000E29F6"/>
    <w:rsid w:val="000E2A03"/>
    <w:rsid w:val="000E2D33"/>
    <w:rsid w:val="000E31BB"/>
    <w:rsid w:val="000E33CD"/>
    <w:rsid w:val="000E33E8"/>
    <w:rsid w:val="000E3629"/>
    <w:rsid w:val="000E366C"/>
    <w:rsid w:val="000E36DA"/>
    <w:rsid w:val="000E3773"/>
    <w:rsid w:val="000E382C"/>
    <w:rsid w:val="000E3975"/>
    <w:rsid w:val="000E3E69"/>
    <w:rsid w:val="000E4B01"/>
    <w:rsid w:val="000E5170"/>
    <w:rsid w:val="000E51E7"/>
    <w:rsid w:val="000E5288"/>
    <w:rsid w:val="000E5E51"/>
    <w:rsid w:val="000E6070"/>
    <w:rsid w:val="000E62F2"/>
    <w:rsid w:val="000E69E9"/>
    <w:rsid w:val="000E6A9C"/>
    <w:rsid w:val="000E6AB5"/>
    <w:rsid w:val="000E6AD9"/>
    <w:rsid w:val="000E6B00"/>
    <w:rsid w:val="000E736A"/>
    <w:rsid w:val="000E7BD6"/>
    <w:rsid w:val="000E7D44"/>
    <w:rsid w:val="000F01EA"/>
    <w:rsid w:val="000F0C76"/>
    <w:rsid w:val="000F0CFA"/>
    <w:rsid w:val="000F106B"/>
    <w:rsid w:val="000F12F0"/>
    <w:rsid w:val="000F177D"/>
    <w:rsid w:val="000F1C31"/>
    <w:rsid w:val="000F2015"/>
    <w:rsid w:val="000F22E3"/>
    <w:rsid w:val="000F2484"/>
    <w:rsid w:val="000F2639"/>
    <w:rsid w:val="000F2870"/>
    <w:rsid w:val="000F2B7F"/>
    <w:rsid w:val="000F3042"/>
    <w:rsid w:val="000F311D"/>
    <w:rsid w:val="000F3318"/>
    <w:rsid w:val="000F3540"/>
    <w:rsid w:val="000F35F2"/>
    <w:rsid w:val="000F3721"/>
    <w:rsid w:val="000F381C"/>
    <w:rsid w:val="000F3841"/>
    <w:rsid w:val="000F3B5A"/>
    <w:rsid w:val="000F3F3A"/>
    <w:rsid w:val="000F4503"/>
    <w:rsid w:val="000F4CAE"/>
    <w:rsid w:val="000F4E58"/>
    <w:rsid w:val="000F4ECB"/>
    <w:rsid w:val="000F585C"/>
    <w:rsid w:val="000F5D0C"/>
    <w:rsid w:val="000F687A"/>
    <w:rsid w:val="000F68BE"/>
    <w:rsid w:val="000F6932"/>
    <w:rsid w:val="000F6A49"/>
    <w:rsid w:val="000F6B0B"/>
    <w:rsid w:val="000F6DC7"/>
    <w:rsid w:val="000F7D9B"/>
    <w:rsid w:val="001001AA"/>
    <w:rsid w:val="001004C2"/>
    <w:rsid w:val="00100650"/>
    <w:rsid w:val="0010090F"/>
    <w:rsid w:val="00100B92"/>
    <w:rsid w:val="00100D66"/>
    <w:rsid w:val="00100F66"/>
    <w:rsid w:val="0010157B"/>
    <w:rsid w:val="001015CA"/>
    <w:rsid w:val="001016D6"/>
    <w:rsid w:val="001017D7"/>
    <w:rsid w:val="001029B0"/>
    <w:rsid w:val="00102BF8"/>
    <w:rsid w:val="0010300B"/>
    <w:rsid w:val="001032DE"/>
    <w:rsid w:val="00103346"/>
    <w:rsid w:val="00103A41"/>
    <w:rsid w:val="0010409B"/>
    <w:rsid w:val="00104194"/>
    <w:rsid w:val="00104725"/>
    <w:rsid w:val="001047E7"/>
    <w:rsid w:val="00104902"/>
    <w:rsid w:val="00104C06"/>
    <w:rsid w:val="00104EF3"/>
    <w:rsid w:val="001051A1"/>
    <w:rsid w:val="00106012"/>
    <w:rsid w:val="00106126"/>
    <w:rsid w:val="001061C2"/>
    <w:rsid w:val="001066BA"/>
    <w:rsid w:val="00106A35"/>
    <w:rsid w:val="00106F19"/>
    <w:rsid w:val="0010724F"/>
    <w:rsid w:val="001076AA"/>
    <w:rsid w:val="001077D4"/>
    <w:rsid w:val="0011050F"/>
    <w:rsid w:val="00110526"/>
    <w:rsid w:val="001105CC"/>
    <w:rsid w:val="00110E82"/>
    <w:rsid w:val="00110EF4"/>
    <w:rsid w:val="00111322"/>
    <w:rsid w:val="0011136C"/>
    <w:rsid w:val="001115CD"/>
    <w:rsid w:val="001115E3"/>
    <w:rsid w:val="00111C10"/>
    <w:rsid w:val="00111EFC"/>
    <w:rsid w:val="00112059"/>
    <w:rsid w:val="0011211A"/>
    <w:rsid w:val="001129A9"/>
    <w:rsid w:val="00113010"/>
    <w:rsid w:val="0011325A"/>
    <w:rsid w:val="001132D0"/>
    <w:rsid w:val="001132F0"/>
    <w:rsid w:val="00113CB2"/>
    <w:rsid w:val="00113D1F"/>
    <w:rsid w:val="0011401A"/>
    <w:rsid w:val="00114966"/>
    <w:rsid w:val="00114EA0"/>
    <w:rsid w:val="00115213"/>
    <w:rsid w:val="00115522"/>
    <w:rsid w:val="001155E5"/>
    <w:rsid w:val="00115BC6"/>
    <w:rsid w:val="001160D7"/>
    <w:rsid w:val="00116295"/>
    <w:rsid w:val="001167DC"/>
    <w:rsid w:val="00116932"/>
    <w:rsid w:val="00116C11"/>
    <w:rsid w:val="00116F0C"/>
    <w:rsid w:val="00116F90"/>
    <w:rsid w:val="00116FF3"/>
    <w:rsid w:val="00117252"/>
    <w:rsid w:val="001172BF"/>
    <w:rsid w:val="001176DC"/>
    <w:rsid w:val="00117719"/>
    <w:rsid w:val="001177FD"/>
    <w:rsid w:val="001178C3"/>
    <w:rsid w:val="00117A29"/>
    <w:rsid w:val="00117B0B"/>
    <w:rsid w:val="00117CA6"/>
    <w:rsid w:val="00117D54"/>
    <w:rsid w:val="00120280"/>
    <w:rsid w:val="00120429"/>
    <w:rsid w:val="0012109C"/>
    <w:rsid w:val="00121180"/>
    <w:rsid w:val="001211B0"/>
    <w:rsid w:val="00121519"/>
    <w:rsid w:val="001215A8"/>
    <w:rsid w:val="00121CC4"/>
    <w:rsid w:val="00122176"/>
    <w:rsid w:val="001223A4"/>
    <w:rsid w:val="00122672"/>
    <w:rsid w:val="0012275F"/>
    <w:rsid w:val="00122856"/>
    <w:rsid w:val="0012286E"/>
    <w:rsid w:val="001228C7"/>
    <w:rsid w:val="001229AC"/>
    <w:rsid w:val="001229E7"/>
    <w:rsid w:val="00122DF1"/>
    <w:rsid w:val="00122F1D"/>
    <w:rsid w:val="00122F94"/>
    <w:rsid w:val="00123133"/>
    <w:rsid w:val="001235FE"/>
    <w:rsid w:val="00123719"/>
    <w:rsid w:val="00123A17"/>
    <w:rsid w:val="00123D5A"/>
    <w:rsid w:val="00124437"/>
    <w:rsid w:val="001246AA"/>
    <w:rsid w:val="001247C7"/>
    <w:rsid w:val="00125429"/>
    <w:rsid w:val="0012587E"/>
    <w:rsid w:val="00125A54"/>
    <w:rsid w:val="00125B6E"/>
    <w:rsid w:val="00125FBC"/>
    <w:rsid w:val="001264B3"/>
    <w:rsid w:val="00126A5D"/>
    <w:rsid w:val="00126A70"/>
    <w:rsid w:val="00126E23"/>
    <w:rsid w:val="00127149"/>
    <w:rsid w:val="00127593"/>
    <w:rsid w:val="00127914"/>
    <w:rsid w:val="0013009B"/>
    <w:rsid w:val="001305CE"/>
    <w:rsid w:val="0013086E"/>
    <w:rsid w:val="0013121D"/>
    <w:rsid w:val="0013193C"/>
    <w:rsid w:val="00131B95"/>
    <w:rsid w:val="00131F64"/>
    <w:rsid w:val="00131FAA"/>
    <w:rsid w:val="00132284"/>
    <w:rsid w:val="00132575"/>
    <w:rsid w:val="00132A79"/>
    <w:rsid w:val="00132CCD"/>
    <w:rsid w:val="0013319F"/>
    <w:rsid w:val="00133236"/>
    <w:rsid w:val="00133726"/>
    <w:rsid w:val="00133A8D"/>
    <w:rsid w:val="00133C7E"/>
    <w:rsid w:val="00133C9C"/>
    <w:rsid w:val="001344E7"/>
    <w:rsid w:val="0013464F"/>
    <w:rsid w:val="0013476E"/>
    <w:rsid w:val="00134FD5"/>
    <w:rsid w:val="0013534F"/>
    <w:rsid w:val="00135768"/>
    <w:rsid w:val="001357D0"/>
    <w:rsid w:val="001359BF"/>
    <w:rsid w:val="00135A17"/>
    <w:rsid w:val="00135A78"/>
    <w:rsid w:val="001361B4"/>
    <w:rsid w:val="00136585"/>
    <w:rsid w:val="00136A10"/>
    <w:rsid w:val="00136BDD"/>
    <w:rsid w:val="00136F74"/>
    <w:rsid w:val="001373E0"/>
    <w:rsid w:val="00137499"/>
    <w:rsid w:val="001379D4"/>
    <w:rsid w:val="00137DF4"/>
    <w:rsid w:val="0014079B"/>
    <w:rsid w:val="00140B32"/>
    <w:rsid w:val="00140B8C"/>
    <w:rsid w:val="00140CD9"/>
    <w:rsid w:val="00140D6D"/>
    <w:rsid w:val="00141761"/>
    <w:rsid w:val="001418C5"/>
    <w:rsid w:val="00141A00"/>
    <w:rsid w:val="00141E27"/>
    <w:rsid w:val="00142089"/>
    <w:rsid w:val="00142219"/>
    <w:rsid w:val="00142320"/>
    <w:rsid w:val="001425BD"/>
    <w:rsid w:val="0014285F"/>
    <w:rsid w:val="001429F5"/>
    <w:rsid w:val="00142A17"/>
    <w:rsid w:val="00143B5E"/>
    <w:rsid w:val="00143E7D"/>
    <w:rsid w:val="0014404B"/>
    <w:rsid w:val="00144126"/>
    <w:rsid w:val="00144386"/>
    <w:rsid w:val="00144706"/>
    <w:rsid w:val="00144897"/>
    <w:rsid w:val="001448AE"/>
    <w:rsid w:val="00145938"/>
    <w:rsid w:val="00145B9E"/>
    <w:rsid w:val="00145CC0"/>
    <w:rsid w:val="00145D6B"/>
    <w:rsid w:val="00145F11"/>
    <w:rsid w:val="001462C5"/>
    <w:rsid w:val="001463F6"/>
    <w:rsid w:val="001464A7"/>
    <w:rsid w:val="001467CA"/>
    <w:rsid w:val="00146C9D"/>
    <w:rsid w:val="00146F2D"/>
    <w:rsid w:val="00146F8A"/>
    <w:rsid w:val="001475E4"/>
    <w:rsid w:val="001479C1"/>
    <w:rsid w:val="00150382"/>
    <w:rsid w:val="001507A4"/>
    <w:rsid w:val="00150A70"/>
    <w:rsid w:val="00150CC4"/>
    <w:rsid w:val="00150E77"/>
    <w:rsid w:val="00150EE0"/>
    <w:rsid w:val="0015120F"/>
    <w:rsid w:val="00151314"/>
    <w:rsid w:val="0015168C"/>
    <w:rsid w:val="0015177A"/>
    <w:rsid w:val="00151C26"/>
    <w:rsid w:val="00152412"/>
    <w:rsid w:val="00152A51"/>
    <w:rsid w:val="00153DA2"/>
    <w:rsid w:val="00154A1C"/>
    <w:rsid w:val="00154EED"/>
    <w:rsid w:val="00154F4D"/>
    <w:rsid w:val="00155625"/>
    <w:rsid w:val="00155758"/>
    <w:rsid w:val="00155793"/>
    <w:rsid w:val="00155CAA"/>
    <w:rsid w:val="001562D5"/>
    <w:rsid w:val="0015666E"/>
    <w:rsid w:val="0015698C"/>
    <w:rsid w:val="0015703C"/>
    <w:rsid w:val="00157358"/>
    <w:rsid w:val="00157521"/>
    <w:rsid w:val="00157DAB"/>
    <w:rsid w:val="0016082A"/>
    <w:rsid w:val="00160993"/>
    <w:rsid w:val="00160A21"/>
    <w:rsid w:val="00160FB0"/>
    <w:rsid w:val="001612B4"/>
    <w:rsid w:val="00161382"/>
    <w:rsid w:val="001617B4"/>
    <w:rsid w:val="00161A51"/>
    <w:rsid w:val="00161AAA"/>
    <w:rsid w:val="00161B8D"/>
    <w:rsid w:val="00162087"/>
    <w:rsid w:val="00162319"/>
    <w:rsid w:val="00162582"/>
    <w:rsid w:val="0016280F"/>
    <w:rsid w:val="00163352"/>
    <w:rsid w:val="001633B6"/>
    <w:rsid w:val="001635D5"/>
    <w:rsid w:val="00163DC4"/>
    <w:rsid w:val="0016447F"/>
    <w:rsid w:val="0016497C"/>
    <w:rsid w:val="00164C4C"/>
    <w:rsid w:val="00164C83"/>
    <w:rsid w:val="0016526D"/>
    <w:rsid w:val="00165388"/>
    <w:rsid w:val="001653FA"/>
    <w:rsid w:val="001657AF"/>
    <w:rsid w:val="001668BB"/>
    <w:rsid w:val="0016697C"/>
    <w:rsid w:val="00166BAF"/>
    <w:rsid w:val="00167193"/>
    <w:rsid w:val="001679A3"/>
    <w:rsid w:val="00167EA0"/>
    <w:rsid w:val="00167FDF"/>
    <w:rsid w:val="00170587"/>
    <w:rsid w:val="001705EA"/>
    <w:rsid w:val="0017080F"/>
    <w:rsid w:val="001710AC"/>
    <w:rsid w:val="0017164C"/>
    <w:rsid w:val="00171742"/>
    <w:rsid w:val="00171A90"/>
    <w:rsid w:val="00171BF5"/>
    <w:rsid w:val="00171FCC"/>
    <w:rsid w:val="00172757"/>
    <w:rsid w:val="00172A0B"/>
    <w:rsid w:val="00172D38"/>
    <w:rsid w:val="00172D46"/>
    <w:rsid w:val="0017335D"/>
    <w:rsid w:val="00173465"/>
    <w:rsid w:val="00173472"/>
    <w:rsid w:val="00173B74"/>
    <w:rsid w:val="00173DDB"/>
    <w:rsid w:val="00175015"/>
    <w:rsid w:val="00175019"/>
    <w:rsid w:val="001757C8"/>
    <w:rsid w:val="0017618E"/>
    <w:rsid w:val="001766AE"/>
    <w:rsid w:val="001768BD"/>
    <w:rsid w:val="00176D23"/>
    <w:rsid w:val="00177AF2"/>
    <w:rsid w:val="00177B27"/>
    <w:rsid w:val="00177E33"/>
    <w:rsid w:val="00177EC3"/>
    <w:rsid w:val="001801AE"/>
    <w:rsid w:val="0018021C"/>
    <w:rsid w:val="00181414"/>
    <w:rsid w:val="0018196D"/>
    <w:rsid w:val="00181B51"/>
    <w:rsid w:val="001822D6"/>
    <w:rsid w:val="001823A7"/>
    <w:rsid w:val="001825A7"/>
    <w:rsid w:val="00182919"/>
    <w:rsid w:val="00182D5B"/>
    <w:rsid w:val="00182DA6"/>
    <w:rsid w:val="00182F8B"/>
    <w:rsid w:val="001831A6"/>
    <w:rsid w:val="001837BD"/>
    <w:rsid w:val="001837D6"/>
    <w:rsid w:val="00183C11"/>
    <w:rsid w:val="0018410A"/>
    <w:rsid w:val="00184BAC"/>
    <w:rsid w:val="00184C75"/>
    <w:rsid w:val="00184E78"/>
    <w:rsid w:val="00184FFF"/>
    <w:rsid w:val="00185179"/>
    <w:rsid w:val="0018574E"/>
    <w:rsid w:val="00185B1D"/>
    <w:rsid w:val="00185EBC"/>
    <w:rsid w:val="0018662C"/>
    <w:rsid w:val="00186AF5"/>
    <w:rsid w:val="00186C1C"/>
    <w:rsid w:val="00186E6F"/>
    <w:rsid w:val="00187656"/>
    <w:rsid w:val="0018769B"/>
    <w:rsid w:val="001878E3"/>
    <w:rsid w:val="00187F41"/>
    <w:rsid w:val="00187FA7"/>
    <w:rsid w:val="00187FC9"/>
    <w:rsid w:val="0019022B"/>
    <w:rsid w:val="001904D9"/>
    <w:rsid w:val="00190B3F"/>
    <w:rsid w:val="00191023"/>
    <w:rsid w:val="00191ADE"/>
    <w:rsid w:val="00191BC4"/>
    <w:rsid w:val="00192050"/>
    <w:rsid w:val="0019227D"/>
    <w:rsid w:val="00192800"/>
    <w:rsid w:val="00192A90"/>
    <w:rsid w:val="00192C83"/>
    <w:rsid w:val="00193015"/>
    <w:rsid w:val="001936FD"/>
    <w:rsid w:val="00193880"/>
    <w:rsid w:val="00193BAD"/>
    <w:rsid w:val="00193E8D"/>
    <w:rsid w:val="00194543"/>
    <w:rsid w:val="0019490A"/>
    <w:rsid w:val="00194BC5"/>
    <w:rsid w:val="00194F3D"/>
    <w:rsid w:val="001951DB"/>
    <w:rsid w:val="00195996"/>
    <w:rsid w:val="00195DD5"/>
    <w:rsid w:val="00196021"/>
    <w:rsid w:val="00196750"/>
    <w:rsid w:val="00196775"/>
    <w:rsid w:val="00196E7B"/>
    <w:rsid w:val="00196F30"/>
    <w:rsid w:val="00196FD7"/>
    <w:rsid w:val="00197083"/>
    <w:rsid w:val="00197138"/>
    <w:rsid w:val="00197271"/>
    <w:rsid w:val="00197971"/>
    <w:rsid w:val="00197AE2"/>
    <w:rsid w:val="00197BD2"/>
    <w:rsid w:val="00197F62"/>
    <w:rsid w:val="001A036B"/>
    <w:rsid w:val="001A0873"/>
    <w:rsid w:val="001A0989"/>
    <w:rsid w:val="001A0B32"/>
    <w:rsid w:val="001A1516"/>
    <w:rsid w:val="001A2153"/>
    <w:rsid w:val="001A25DA"/>
    <w:rsid w:val="001A2FA5"/>
    <w:rsid w:val="001A2FEC"/>
    <w:rsid w:val="001A2FED"/>
    <w:rsid w:val="001A3045"/>
    <w:rsid w:val="001A33B2"/>
    <w:rsid w:val="001A340A"/>
    <w:rsid w:val="001A3795"/>
    <w:rsid w:val="001A3F11"/>
    <w:rsid w:val="001A40F9"/>
    <w:rsid w:val="001A436E"/>
    <w:rsid w:val="001A465D"/>
    <w:rsid w:val="001A5393"/>
    <w:rsid w:val="001A557E"/>
    <w:rsid w:val="001A5725"/>
    <w:rsid w:val="001A5973"/>
    <w:rsid w:val="001A59C8"/>
    <w:rsid w:val="001A5B39"/>
    <w:rsid w:val="001A6E52"/>
    <w:rsid w:val="001A72AC"/>
    <w:rsid w:val="001A7447"/>
    <w:rsid w:val="001A7504"/>
    <w:rsid w:val="001A7769"/>
    <w:rsid w:val="001A796A"/>
    <w:rsid w:val="001A79A1"/>
    <w:rsid w:val="001A7A59"/>
    <w:rsid w:val="001A7CF0"/>
    <w:rsid w:val="001A7FD5"/>
    <w:rsid w:val="001B0034"/>
    <w:rsid w:val="001B0A65"/>
    <w:rsid w:val="001B0C7A"/>
    <w:rsid w:val="001B0DED"/>
    <w:rsid w:val="001B0F29"/>
    <w:rsid w:val="001B0F97"/>
    <w:rsid w:val="001B10A4"/>
    <w:rsid w:val="001B1353"/>
    <w:rsid w:val="001B13E3"/>
    <w:rsid w:val="001B1495"/>
    <w:rsid w:val="001B1A5C"/>
    <w:rsid w:val="001B2385"/>
    <w:rsid w:val="001B2D79"/>
    <w:rsid w:val="001B2F97"/>
    <w:rsid w:val="001B3264"/>
    <w:rsid w:val="001B34B8"/>
    <w:rsid w:val="001B36E6"/>
    <w:rsid w:val="001B370D"/>
    <w:rsid w:val="001B37AA"/>
    <w:rsid w:val="001B38D7"/>
    <w:rsid w:val="001B3AF3"/>
    <w:rsid w:val="001B431F"/>
    <w:rsid w:val="001B4549"/>
    <w:rsid w:val="001B4D5E"/>
    <w:rsid w:val="001B5329"/>
    <w:rsid w:val="001B5616"/>
    <w:rsid w:val="001B5950"/>
    <w:rsid w:val="001B5BC7"/>
    <w:rsid w:val="001B6D53"/>
    <w:rsid w:val="001B7642"/>
    <w:rsid w:val="001B765F"/>
    <w:rsid w:val="001B77AD"/>
    <w:rsid w:val="001B780F"/>
    <w:rsid w:val="001B7D13"/>
    <w:rsid w:val="001B7D87"/>
    <w:rsid w:val="001B7F12"/>
    <w:rsid w:val="001C0047"/>
    <w:rsid w:val="001C06AB"/>
    <w:rsid w:val="001C07B4"/>
    <w:rsid w:val="001C0B03"/>
    <w:rsid w:val="001C1329"/>
    <w:rsid w:val="001C1641"/>
    <w:rsid w:val="001C167D"/>
    <w:rsid w:val="001C1A1A"/>
    <w:rsid w:val="001C1A6B"/>
    <w:rsid w:val="001C1BB2"/>
    <w:rsid w:val="001C1D4C"/>
    <w:rsid w:val="001C27D6"/>
    <w:rsid w:val="001C2A88"/>
    <w:rsid w:val="001C2B2D"/>
    <w:rsid w:val="001C2F87"/>
    <w:rsid w:val="001C3116"/>
    <w:rsid w:val="001C38D1"/>
    <w:rsid w:val="001C3D7A"/>
    <w:rsid w:val="001C43CC"/>
    <w:rsid w:val="001C4672"/>
    <w:rsid w:val="001C491E"/>
    <w:rsid w:val="001C4AE9"/>
    <w:rsid w:val="001C5547"/>
    <w:rsid w:val="001C5802"/>
    <w:rsid w:val="001C5875"/>
    <w:rsid w:val="001C642B"/>
    <w:rsid w:val="001C672A"/>
    <w:rsid w:val="001C67C8"/>
    <w:rsid w:val="001C69E6"/>
    <w:rsid w:val="001C7D2E"/>
    <w:rsid w:val="001D0276"/>
    <w:rsid w:val="001D03C5"/>
    <w:rsid w:val="001D049F"/>
    <w:rsid w:val="001D0A93"/>
    <w:rsid w:val="001D0F05"/>
    <w:rsid w:val="001D1A7F"/>
    <w:rsid w:val="001D20F8"/>
    <w:rsid w:val="001D25C2"/>
    <w:rsid w:val="001D2723"/>
    <w:rsid w:val="001D2A35"/>
    <w:rsid w:val="001D2D54"/>
    <w:rsid w:val="001D2E2F"/>
    <w:rsid w:val="001D3DCE"/>
    <w:rsid w:val="001D3E7C"/>
    <w:rsid w:val="001D45E7"/>
    <w:rsid w:val="001D46C4"/>
    <w:rsid w:val="001D4913"/>
    <w:rsid w:val="001D4CE0"/>
    <w:rsid w:val="001D53DD"/>
    <w:rsid w:val="001D544B"/>
    <w:rsid w:val="001D55DB"/>
    <w:rsid w:val="001D5ABA"/>
    <w:rsid w:val="001D5F0E"/>
    <w:rsid w:val="001D6138"/>
    <w:rsid w:val="001D62FE"/>
    <w:rsid w:val="001D6345"/>
    <w:rsid w:val="001D6668"/>
    <w:rsid w:val="001D6D49"/>
    <w:rsid w:val="001D6F2A"/>
    <w:rsid w:val="001D6F7E"/>
    <w:rsid w:val="001D709E"/>
    <w:rsid w:val="001D70EC"/>
    <w:rsid w:val="001D72F4"/>
    <w:rsid w:val="001D7AF8"/>
    <w:rsid w:val="001E0299"/>
    <w:rsid w:val="001E02F1"/>
    <w:rsid w:val="001E08EE"/>
    <w:rsid w:val="001E119B"/>
    <w:rsid w:val="001E1779"/>
    <w:rsid w:val="001E1C16"/>
    <w:rsid w:val="001E20B6"/>
    <w:rsid w:val="001E2182"/>
    <w:rsid w:val="001E2211"/>
    <w:rsid w:val="001E24E6"/>
    <w:rsid w:val="001E2839"/>
    <w:rsid w:val="001E33DA"/>
    <w:rsid w:val="001E3451"/>
    <w:rsid w:val="001E34AE"/>
    <w:rsid w:val="001E34BE"/>
    <w:rsid w:val="001E393C"/>
    <w:rsid w:val="001E3A21"/>
    <w:rsid w:val="001E3B07"/>
    <w:rsid w:val="001E3B0A"/>
    <w:rsid w:val="001E3CA8"/>
    <w:rsid w:val="001E3DC2"/>
    <w:rsid w:val="001E406B"/>
    <w:rsid w:val="001E42FC"/>
    <w:rsid w:val="001E4B71"/>
    <w:rsid w:val="001E4BE7"/>
    <w:rsid w:val="001E508F"/>
    <w:rsid w:val="001E526C"/>
    <w:rsid w:val="001E5429"/>
    <w:rsid w:val="001E562E"/>
    <w:rsid w:val="001E5F4E"/>
    <w:rsid w:val="001E5FF9"/>
    <w:rsid w:val="001E605E"/>
    <w:rsid w:val="001E6184"/>
    <w:rsid w:val="001E649E"/>
    <w:rsid w:val="001E6595"/>
    <w:rsid w:val="001E694A"/>
    <w:rsid w:val="001E6D53"/>
    <w:rsid w:val="001E75E0"/>
    <w:rsid w:val="001E76A2"/>
    <w:rsid w:val="001E76CD"/>
    <w:rsid w:val="001E77C0"/>
    <w:rsid w:val="001E7A58"/>
    <w:rsid w:val="001E7C3D"/>
    <w:rsid w:val="001E7E1E"/>
    <w:rsid w:val="001E7F58"/>
    <w:rsid w:val="001F1417"/>
    <w:rsid w:val="001F1DC2"/>
    <w:rsid w:val="001F1E0B"/>
    <w:rsid w:val="001F235C"/>
    <w:rsid w:val="001F24D5"/>
    <w:rsid w:val="001F28A4"/>
    <w:rsid w:val="001F2A38"/>
    <w:rsid w:val="001F2FEF"/>
    <w:rsid w:val="001F320D"/>
    <w:rsid w:val="001F3BAE"/>
    <w:rsid w:val="001F3D4A"/>
    <w:rsid w:val="001F4066"/>
    <w:rsid w:val="001F4194"/>
    <w:rsid w:val="001F4486"/>
    <w:rsid w:val="001F4580"/>
    <w:rsid w:val="001F45D7"/>
    <w:rsid w:val="001F491B"/>
    <w:rsid w:val="001F4F39"/>
    <w:rsid w:val="001F5143"/>
    <w:rsid w:val="001F5270"/>
    <w:rsid w:val="001F58C7"/>
    <w:rsid w:val="001F5C37"/>
    <w:rsid w:val="001F600F"/>
    <w:rsid w:val="001F6362"/>
    <w:rsid w:val="001F655C"/>
    <w:rsid w:val="001F677E"/>
    <w:rsid w:val="001F67F9"/>
    <w:rsid w:val="001F752A"/>
    <w:rsid w:val="001F7658"/>
    <w:rsid w:val="001F785B"/>
    <w:rsid w:val="001F793C"/>
    <w:rsid w:val="001F7EFF"/>
    <w:rsid w:val="00200D10"/>
    <w:rsid w:val="00200E08"/>
    <w:rsid w:val="00200E8D"/>
    <w:rsid w:val="002012AD"/>
    <w:rsid w:val="00201381"/>
    <w:rsid w:val="002015DA"/>
    <w:rsid w:val="0020167D"/>
    <w:rsid w:val="002018CE"/>
    <w:rsid w:val="0020192E"/>
    <w:rsid w:val="00201A28"/>
    <w:rsid w:val="00202325"/>
    <w:rsid w:val="002025EE"/>
    <w:rsid w:val="0020312F"/>
    <w:rsid w:val="0020390A"/>
    <w:rsid w:val="00203F80"/>
    <w:rsid w:val="002045E3"/>
    <w:rsid w:val="00204717"/>
    <w:rsid w:val="0020477F"/>
    <w:rsid w:val="00204EAD"/>
    <w:rsid w:val="002051C3"/>
    <w:rsid w:val="002056C5"/>
    <w:rsid w:val="00205A4F"/>
    <w:rsid w:val="00205B61"/>
    <w:rsid w:val="00205EAF"/>
    <w:rsid w:val="00206A31"/>
    <w:rsid w:val="00206AF5"/>
    <w:rsid w:val="00206BFE"/>
    <w:rsid w:val="00206C21"/>
    <w:rsid w:val="00206FB8"/>
    <w:rsid w:val="002071AE"/>
    <w:rsid w:val="002073EC"/>
    <w:rsid w:val="00207782"/>
    <w:rsid w:val="00207C63"/>
    <w:rsid w:val="00207E07"/>
    <w:rsid w:val="0021044B"/>
    <w:rsid w:val="00210679"/>
    <w:rsid w:val="00210EF6"/>
    <w:rsid w:val="00211BCE"/>
    <w:rsid w:val="00212205"/>
    <w:rsid w:val="00212427"/>
    <w:rsid w:val="00212A67"/>
    <w:rsid w:val="0021330E"/>
    <w:rsid w:val="00213AB7"/>
    <w:rsid w:val="0021418D"/>
    <w:rsid w:val="0021464D"/>
    <w:rsid w:val="002151D4"/>
    <w:rsid w:val="00215244"/>
    <w:rsid w:val="0021531E"/>
    <w:rsid w:val="002155A0"/>
    <w:rsid w:val="00216484"/>
    <w:rsid w:val="00216564"/>
    <w:rsid w:val="00216583"/>
    <w:rsid w:val="00216BF6"/>
    <w:rsid w:val="00216DEA"/>
    <w:rsid w:val="00216E5C"/>
    <w:rsid w:val="00216E6C"/>
    <w:rsid w:val="00217187"/>
    <w:rsid w:val="00217270"/>
    <w:rsid w:val="0021739B"/>
    <w:rsid w:val="002173C6"/>
    <w:rsid w:val="0021777E"/>
    <w:rsid w:val="002179E9"/>
    <w:rsid w:val="00217DE0"/>
    <w:rsid w:val="0022009E"/>
    <w:rsid w:val="00220447"/>
    <w:rsid w:val="00220D42"/>
    <w:rsid w:val="0022115C"/>
    <w:rsid w:val="002211C2"/>
    <w:rsid w:val="0022131C"/>
    <w:rsid w:val="002215FA"/>
    <w:rsid w:val="0022193B"/>
    <w:rsid w:val="00221B4D"/>
    <w:rsid w:val="0022240B"/>
    <w:rsid w:val="00222F0B"/>
    <w:rsid w:val="00223561"/>
    <w:rsid w:val="00223612"/>
    <w:rsid w:val="00223BFD"/>
    <w:rsid w:val="00223C1E"/>
    <w:rsid w:val="00224969"/>
    <w:rsid w:val="00224E30"/>
    <w:rsid w:val="002253A4"/>
    <w:rsid w:val="00225B9F"/>
    <w:rsid w:val="00225BBF"/>
    <w:rsid w:val="00225C0A"/>
    <w:rsid w:val="00225F9E"/>
    <w:rsid w:val="00226285"/>
    <w:rsid w:val="00226314"/>
    <w:rsid w:val="002263E2"/>
    <w:rsid w:val="00226B10"/>
    <w:rsid w:val="00226D33"/>
    <w:rsid w:val="00226DA4"/>
    <w:rsid w:val="002273F4"/>
    <w:rsid w:val="00227561"/>
    <w:rsid w:val="002276E4"/>
    <w:rsid w:val="002277EC"/>
    <w:rsid w:val="002300F2"/>
    <w:rsid w:val="00230BA6"/>
    <w:rsid w:val="00230BAF"/>
    <w:rsid w:val="00231562"/>
    <w:rsid w:val="00231ABA"/>
    <w:rsid w:val="00231E1E"/>
    <w:rsid w:val="00231ED8"/>
    <w:rsid w:val="00231FED"/>
    <w:rsid w:val="002320F5"/>
    <w:rsid w:val="00233147"/>
    <w:rsid w:val="00233170"/>
    <w:rsid w:val="002331FF"/>
    <w:rsid w:val="00233246"/>
    <w:rsid w:val="00233492"/>
    <w:rsid w:val="00233509"/>
    <w:rsid w:val="002336EE"/>
    <w:rsid w:val="00233751"/>
    <w:rsid w:val="002338F8"/>
    <w:rsid w:val="00233C54"/>
    <w:rsid w:val="00233CFD"/>
    <w:rsid w:val="00233DCF"/>
    <w:rsid w:val="002344F0"/>
    <w:rsid w:val="00234B6E"/>
    <w:rsid w:val="002353B4"/>
    <w:rsid w:val="00235A36"/>
    <w:rsid w:val="00236B45"/>
    <w:rsid w:val="00236B5F"/>
    <w:rsid w:val="00236D43"/>
    <w:rsid w:val="002370A1"/>
    <w:rsid w:val="0023712E"/>
    <w:rsid w:val="002374D1"/>
    <w:rsid w:val="0023780C"/>
    <w:rsid w:val="002379A5"/>
    <w:rsid w:val="0024080F"/>
    <w:rsid w:val="00241C6C"/>
    <w:rsid w:val="00241D4F"/>
    <w:rsid w:val="00241F40"/>
    <w:rsid w:val="002424AD"/>
    <w:rsid w:val="00242E5B"/>
    <w:rsid w:val="00243000"/>
    <w:rsid w:val="002431D5"/>
    <w:rsid w:val="00243BF1"/>
    <w:rsid w:val="00244D15"/>
    <w:rsid w:val="00245212"/>
    <w:rsid w:val="00245430"/>
    <w:rsid w:val="00245A2B"/>
    <w:rsid w:val="00245B04"/>
    <w:rsid w:val="00245D9D"/>
    <w:rsid w:val="00246670"/>
    <w:rsid w:val="00246BC6"/>
    <w:rsid w:val="00247262"/>
    <w:rsid w:val="0024780D"/>
    <w:rsid w:val="002479D7"/>
    <w:rsid w:val="00247C8A"/>
    <w:rsid w:val="002506DC"/>
    <w:rsid w:val="002509FF"/>
    <w:rsid w:val="00250BEC"/>
    <w:rsid w:val="002513FD"/>
    <w:rsid w:val="0025171B"/>
    <w:rsid w:val="00251990"/>
    <w:rsid w:val="002519EE"/>
    <w:rsid w:val="00251B28"/>
    <w:rsid w:val="002522A4"/>
    <w:rsid w:val="0025278C"/>
    <w:rsid w:val="00252BFC"/>
    <w:rsid w:val="00253231"/>
    <w:rsid w:val="002532DD"/>
    <w:rsid w:val="00253541"/>
    <w:rsid w:val="002537E4"/>
    <w:rsid w:val="00253855"/>
    <w:rsid w:val="0025386D"/>
    <w:rsid w:val="002538A6"/>
    <w:rsid w:val="00253A46"/>
    <w:rsid w:val="00253EC1"/>
    <w:rsid w:val="00254882"/>
    <w:rsid w:val="002549EA"/>
    <w:rsid w:val="00254A3A"/>
    <w:rsid w:val="00254ACD"/>
    <w:rsid w:val="0025502D"/>
    <w:rsid w:val="00255245"/>
    <w:rsid w:val="002556BB"/>
    <w:rsid w:val="00255A90"/>
    <w:rsid w:val="00255CC5"/>
    <w:rsid w:val="00255EBD"/>
    <w:rsid w:val="00256097"/>
    <w:rsid w:val="00256229"/>
    <w:rsid w:val="0025639A"/>
    <w:rsid w:val="00256471"/>
    <w:rsid w:val="0025697F"/>
    <w:rsid w:val="00256B5B"/>
    <w:rsid w:val="00256D41"/>
    <w:rsid w:val="00256EB1"/>
    <w:rsid w:val="002574A2"/>
    <w:rsid w:val="00257C59"/>
    <w:rsid w:val="00257F5F"/>
    <w:rsid w:val="00257F6D"/>
    <w:rsid w:val="00260686"/>
    <w:rsid w:val="00260738"/>
    <w:rsid w:val="002618C7"/>
    <w:rsid w:val="00261AC2"/>
    <w:rsid w:val="00261BDE"/>
    <w:rsid w:val="00262128"/>
    <w:rsid w:val="002629E5"/>
    <w:rsid w:val="002629E8"/>
    <w:rsid w:val="00262EA4"/>
    <w:rsid w:val="00263924"/>
    <w:rsid w:val="00263CD0"/>
    <w:rsid w:val="00263D2D"/>
    <w:rsid w:val="00263E4B"/>
    <w:rsid w:val="002649F7"/>
    <w:rsid w:val="0026513F"/>
    <w:rsid w:val="00265200"/>
    <w:rsid w:val="00265266"/>
    <w:rsid w:val="00265501"/>
    <w:rsid w:val="002660D2"/>
    <w:rsid w:val="0026697D"/>
    <w:rsid w:val="00266BCB"/>
    <w:rsid w:val="00266EA5"/>
    <w:rsid w:val="00267609"/>
    <w:rsid w:val="002678E5"/>
    <w:rsid w:val="00267D12"/>
    <w:rsid w:val="002702F9"/>
    <w:rsid w:val="00270595"/>
    <w:rsid w:val="00270D01"/>
    <w:rsid w:val="0027128A"/>
    <w:rsid w:val="002714F5"/>
    <w:rsid w:val="002715EE"/>
    <w:rsid w:val="00271BF1"/>
    <w:rsid w:val="00272040"/>
    <w:rsid w:val="002721A1"/>
    <w:rsid w:val="002723DD"/>
    <w:rsid w:val="0027262F"/>
    <w:rsid w:val="002727F5"/>
    <w:rsid w:val="00272C2C"/>
    <w:rsid w:val="00272EDC"/>
    <w:rsid w:val="00273501"/>
    <w:rsid w:val="0027358B"/>
    <w:rsid w:val="00273C06"/>
    <w:rsid w:val="0027413D"/>
    <w:rsid w:val="002744EA"/>
    <w:rsid w:val="00274898"/>
    <w:rsid w:val="00274A03"/>
    <w:rsid w:val="00274AEA"/>
    <w:rsid w:val="00274FF8"/>
    <w:rsid w:val="002751B8"/>
    <w:rsid w:val="002753B3"/>
    <w:rsid w:val="002755D7"/>
    <w:rsid w:val="0027580E"/>
    <w:rsid w:val="00275A05"/>
    <w:rsid w:val="00275C8E"/>
    <w:rsid w:val="002760D7"/>
    <w:rsid w:val="00276292"/>
    <w:rsid w:val="002762AA"/>
    <w:rsid w:val="002764B4"/>
    <w:rsid w:val="0027663E"/>
    <w:rsid w:val="0027670B"/>
    <w:rsid w:val="00276BB6"/>
    <w:rsid w:val="00276C52"/>
    <w:rsid w:val="0027740D"/>
    <w:rsid w:val="0027756B"/>
    <w:rsid w:val="0027794C"/>
    <w:rsid w:val="00277D57"/>
    <w:rsid w:val="00277E26"/>
    <w:rsid w:val="00277E4A"/>
    <w:rsid w:val="002803F9"/>
    <w:rsid w:val="0028064F"/>
    <w:rsid w:val="00280A17"/>
    <w:rsid w:val="00280CA7"/>
    <w:rsid w:val="00280FA1"/>
    <w:rsid w:val="00281409"/>
    <w:rsid w:val="00281580"/>
    <w:rsid w:val="002817FB"/>
    <w:rsid w:val="00282C01"/>
    <w:rsid w:val="00282C3D"/>
    <w:rsid w:val="00282E56"/>
    <w:rsid w:val="002832CF"/>
    <w:rsid w:val="00283801"/>
    <w:rsid w:val="00283B64"/>
    <w:rsid w:val="00283D80"/>
    <w:rsid w:val="00283EEC"/>
    <w:rsid w:val="002840E7"/>
    <w:rsid w:val="0028444A"/>
    <w:rsid w:val="00284C1E"/>
    <w:rsid w:val="002865AD"/>
    <w:rsid w:val="002867B1"/>
    <w:rsid w:val="00286D4D"/>
    <w:rsid w:val="00286F2F"/>
    <w:rsid w:val="00287050"/>
    <w:rsid w:val="00287178"/>
    <w:rsid w:val="00287435"/>
    <w:rsid w:val="0028775B"/>
    <w:rsid w:val="0028795B"/>
    <w:rsid w:val="00287B03"/>
    <w:rsid w:val="00287D36"/>
    <w:rsid w:val="00287EA0"/>
    <w:rsid w:val="00287FA3"/>
    <w:rsid w:val="00290200"/>
    <w:rsid w:val="002907E8"/>
    <w:rsid w:val="00290923"/>
    <w:rsid w:val="00290D5D"/>
    <w:rsid w:val="00291252"/>
    <w:rsid w:val="00291BEF"/>
    <w:rsid w:val="00291D0C"/>
    <w:rsid w:val="00291E0D"/>
    <w:rsid w:val="00292434"/>
    <w:rsid w:val="00292445"/>
    <w:rsid w:val="00292911"/>
    <w:rsid w:val="00292D75"/>
    <w:rsid w:val="00293325"/>
    <w:rsid w:val="00293785"/>
    <w:rsid w:val="002937CB"/>
    <w:rsid w:val="002949AD"/>
    <w:rsid w:val="00294D52"/>
    <w:rsid w:val="00294F85"/>
    <w:rsid w:val="00294FB5"/>
    <w:rsid w:val="00295442"/>
    <w:rsid w:val="0029554C"/>
    <w:rsid w:val="00295614"/>
    <w:rsid w:val="00295A4D"/>
    <w:rsid w:val="00295A54"/>
    <w:rsid w:val="0029600C"/>
    <w:rsid w:val="00296170"/>
    <w:rsid w:val="00296184"/>
    <w:rsid w:val="002966F3"/>
    <w:rsid w:val="00296A22"/>
    <w:rsid w:val="002975F7"/>
    <w:rsid w:val="002976C1"/>
    <w:rsid w:val="00297739"/>
    <w:rsid w:val="0029796E"/>
    <w:rsid w:val="00297D8D"/>
    <w:rsid w:val="002A039A"/>
    <w:rsid w:val="002A068B"/>
    <w:rsid w:val="002A08D6"/>
    <w:rsid w:val="002A08FB"/>
    <w:rsid w:val="002A0942"/>
    <w:rsid w:val="002A10BA"/>
    <w:rsid w:val="002A1854"/>
    <w:rsid w:val="002A1A99"/>
    <w:rsid w:val="002A2484"/>
    <w:rsid w:val="002A2DBB"/>
    <w:rsid w:val="002A2F39"/>
    <w:rsid w:val="002A3016"/>
    <w:rsid w:val="002A3717"/>
    <w:rsid w:val="002A3915"/>
    <w:rsid w:val="002A3A1C"/>
    <w:rsid w:val="002A3C03"/>
    <w:rsid w:val="002A3F94"/>
    <w:rsid w:val="002A4032"/>
    <w:rsid w:val="002A4451"/>
    <w:rsid w:val="002A4B22"/>
    <w:rsid w:val="002A4D73"/>
    <w:rsid w:val="002A55FD"/>
    <w:rsid w:val="002A5E5A"/>
    <w:rsid w:val="002A5F76"/>
    <w:rsid w:val="002A60B1"/>
    <w:rsid w:val="002A62F6"/>
    <w:rsid w:val="002A633A"/>
    <w:rsid w:val="002A637A"/>
    <w:rsid w:val="002A6420"/>
    <w:rsid w:val="002A655B"/>
    <w:rsid w:val="002A6ADD"/>
    <w:rsid w:val="002A6E64"/>
    <w:rsid w:val="002A6EED"/>
    <w:rsid w:val="002A72F0"/>
    <w:rsid w:val="002A767D"/>
    <w:rsid w:val="002A76D4"/>
    <w:rsid w:val="002A7C24"/>
    <w:rsid w:val="002A7F4F"/>
    <w:rsid w:val="002B01C0"/>
    <w:rsid w:val="002B09B3"/>
    <w:rsid w:val="002B0C51"/>
    <w:rsid w:val="002B0D1C"/>
    <w:rsid w:val="002B0F6D"/>
    <w:rsid w:val="002B1037"/>
    <w:rsid w:val="002B10AC"/>
    <w:rsid w:val="002B11F2"/>
    <w:rsid w:val="002B12C9"/>
    <w:rsid w:val="002B1331"/>
    <w:rsid w:val="002B17C6"/>
    <w:rsid w:val="002B195F"/>
    <w:rsid w:val="002B1CDC"/>
    <w:rsid w:val="002B2032"/>
    <w:rsid w:val="002B223E"/>
    <w:rsid w:val="002B242A"/>
    <w:rsid w:val="002B2CE8"/>
    <w:rsid w:val="002B2D3F"/>
    <w:rsid w:val="002B2E33"/>
    <w:rsid w:val="002B2EBA"/>
    <w:rsid w:val="002B2F6C"/>
    <w:rsid w:val="002B33F4"/>
    <w:rsid w:val="002B3481"/>
    <w:rsid w:val="002B36CD"/>
    <w:rsid w:val="002B3783"/>
    <w:rsid w:val="002B3AD0"/>
    <w:rsid w:val="002B4355"/>
    <w:rsid w:val="002B47E1"/>
    <w:rsid w:val="002B4B38"/>
    <w:rsid w:val="002B4D13"/>
    <w:rsid w:val="002B4D59"/>
    <w:rsid w:val="002B4EA2"/>
    <w:rsid w:val="002B4EB3"/>
    <w:rsid w:val="002B60F1"/>
    <w:rsid w:val="002B61D8"/>
    <w:rsid w:val="002B6613"/>
    <w:rsid w:val="002B685A"/>
    <w:rsid w:val="002B6A1B"/>
    <w:rsid w:val="002B71E7"/>
    <w:rsid w:val="002B75E4"/>
    <w:rsid w:val="002B7681"/>
    <w:rsid w:val="002B7976"/>
    <w:rsid w:val="002B7AE7"/>
    <w:rsid w:val="002B7F25"/>
    <w:rsid w:val="002B7F3A"/>
    <w:rsid w:val="002C03E7"/>
    <w:rsid w:val="002C062F"/>
    <w:rsid w:val="002C0767"/>
    <w:rsid w:val="002C095C"/>
    <w:rsid w:val="002C0B79"/>
    <w:rsid w:val="002C1604"/>
    <w:rsid w:val="002C205C"/>
    <w:rsid w:val="002C2573"/>
    <w:rsid w:val="002C28FD"/>
    <w:rsid w:val="002C2D11"/>
    <w:rsid w:val="002C323B"/>
    <w:rsid w:val="002C3523"/>
    <w:rsid w:val="002C4109"/>
    <w:rsid w:val="002C4124"/>
    <w:rsid w:val="002C435A"/>
    <w:rsid w:val="002C4443"/>
    <w:rsid w:val="002C459C"/>
    <w:rsid w:val="002C45C4"/>
    <w:rsid w:val="002C4A05"/>
    <w:rsid w:val="002C4C8F"/>
    <w:rsid w:val="002C4D08"/>
    <w:rsid w:val="002C4E6C"/>
    <w:rsid w:val="002C519D"/>
    <w:rsid w:val="002C51C6"/>
    <w:rsid w:val="002C5498"/>
    <w:rsid w:val="002C54D4"/>
    <w:rsid w:val="002C5504"/>
    <w:rsid w:val="002C6F0D"/>
    <w:rsid w:val="002C7974"/>
    <w:rsid w:val="002C7A0E"/>
    <w:rsid w:val="002C7A1B"/>
    <w:rsid w:val="002C7DA3"/>
    <w:rsid w:val="002D01AD"/>
    <w:rsid w:val="002D05F2"/>
    <w:rsid w:val="002D06D4"/>
    <w:rsid w:val="002D0978"/>
    <w:rsid w:val="002D10F6"/>
    <w:rsid w:val="002D10FC"/>
    <w:rsid w:val="002D1349"/>
    <w:rsid w:val="002D14CC"/>
    <w:rsid w:val="002D15C3"/>
    <w:rsid w:val="002D1EE6"/>
    <w:rsid w:val="002D228D"/>
    <w:rsid w:val="002D246E"/>
    <w:rsid w:val="002D2C78"/>
    <w:rsid w:val="002D3569"/>
    <w:rsid w:val="002D3A59"/>
    <w:rsid w:val="002D3AF9"/>
    <w:rsid w:val="002D3ED2"/>
    <w:rsid w:val="002D44FB"/>
    <w:rsid w:val="002D4578"/>
    <w:rsid w:val="002D4991"/>
    <w:rsid w:val="002D4A8F"/>
    <w:rsid w:val="002D525F"/>
    <w:rsid w:val="002D55BD"/>
    <w:rsid w:val="002D57B9"/>
    <w:rsid w:val="002D5966"/>
    <w:rsid w:val="002D614E"/>
    <w:rsid w:val="002D6805"/>
    <w:rsid w:val="002D6D28"/>
    <w:rsid w:val="002D6F4B"/>
    <w:rsid w:val="002D72F2"/>
    <w:rsid w:val="002E008B"/>
    <w:rsid w:val="002E0097"/>
    <w:rsid w:val="002E062A"/>
    <w:rsid w:val="002E07E6"/>
    <w:rsid w:val="002E0C7C"/>
    <w:rsid w:val="002E0EB0"/>
    <w:rsid w:val="002E0F91"/>
    <w:rsid w:val="002E1C6D"/>
    <w:rsid w:val="002E1DB3"/>
    <w:rsid w:val="002E2112"/>
    <w:rsid w:val="002E246E"/>
    <w:rsid w:val="002E251C"/>
    <w:rsid w:val="002E26EF"/>
    <w:rsid w:val="002E2994"/>
    <w:rsid w:val="002E2C75"/>
    <w:rsid w:val="002E30C9"/>
    <w:rsid w:val="002E31E2"/>
    <w:rsid w:val="002E440F"/>
    <w:rsid w:val="002E495B"/>
    <w:rsid w:val="002E4D62"/>
    <w:rsid w:val="002E4E31"/>
    <w:rsid w:val="002E51B8"/>
    <w:rsid w:val="002E54A3"/>
    <w:rsid w:val="002E5730"/>
    <w:rsid w:val="002E5C6C"/>
    <w:rsid w:val="002E60C9"/>
    <w:rsid w:val="002E6117"/>
    <w:rsid w:val="002E6588"/>
    <w:rsid w:val="002E6693"/>
    <w:rsid w:val="002E6B03"/>
    <w:rsid w:val="002E6E8F"/>
    <w:rsid w:val="002E7268"/>
    <w:rsid w:val="002E75BA"/>
    <w:rsid w:val="002E7957"/>
    <w:rsid w:val="002E7CD7"/>
    <w:rsid w:val="002E7FCA"/>
    <w:rsid w:val="002F011F"/>
    <w:rsid w:val="002F02D2"/>
    <w:rsid w:val="002F0699"/>
    <w:rsid w:val="002F072B"/>
    <w:rsid w:val="002F07B8"/>
    <w:rsid w:val="002F0823"/>
    <w:rsid w:val="002F0839"/>
    <w:rsid w:val="002F0B2F"/>
    <w:rsid w:val="002F0BF1"/>
    <w:rsid w:val="002F1020"/>
    <w:rsid w:val="002F133C"/>
    <w:rsid w:val="002F138F"/>
    <w:rsid w:val="002F1590"/>
    <w:rsid w:val="002F15EC"/>
    <w:rsid w:val="002F1D99"/>
    <w:rsid w:val="002F2025"/>
    <w:rsid w:val="002F2911"/>
    <w:rsid w:val="002F29E6"/>
    <w:rsid w:val="002F2A75"/>
    <w:rsid w:val="002F3797"/>
    <w:rsid w:val="002F38F8"/>
    <w:rsid w:val="002F39D1"/>
    <w:rsid w:val="002F3A57"/>
    <w:rsid w:val="002F453F"/>
    <w:rsid w:val="002F4715"/>
    <w:rsid w:val="002F4B85"/>
    <w:rsid w:val="002F56F3"/>
    <w:rsid w:val="002F5D53"/>
    <w:rsid w:val="002F61BB"/>
    <w:rsid w:val="002F65F5"/>
    <w:rsid w:val="002F67F5"/>
    <w:rsid w:val="002F6848"/>
    <w:rsid w:val="002F68E4"/>
    <w:rsid w:val="002F723D"/>
    <w:rsid w:val="002F7472"/>
    <w:rsid w:val="002F75DE"/>
    <w:rsid w:val="003000A9"/>
    <w:rsid w:val="003000DE"/>
    <w:rsid w:val="003001CC"/>
    <w:rsid w:val="0030058E"/>
    <w:rsid w:val="003007BA"/>
    <w:rsid w:val="003009CC"/>
    <w:rsid w:val="00300F7B"/>
    <w:rsid w:val="003010B7"/>
    <w:rsid w:val="003019D8"/>
    <w:rsid w:val="00301F26"/>
    <w:rsid w:val="003021C6"/>
    <w:rsid w:val="00302671"/>
    <w:rsid w:val="003028BC"/>
    <w:rsid w:val="00302C74"/>
    <w:rsid w:val="00302E46"/>
    <w:rsid w:val="003035C2"/>
    <w:rsid w:val="003036FE"/>
    <w:rsid w:val="003039EB"/>
    <w:rsid w:val="00303DFF"/>
    <w:rsid w:val="00304184"/>
    <w:rsid w:val="003045D5"/>
    <w:rsid w:val="00304622"/>
    <w:rsid w:val="00304E02"/>
    <w:rsid w:val="003052E4"/>
    <w:rsid w:val="00305A93"/>
    <w:rsid w:val="00305C24"/>
    <w:rsid w:val="00305D25"/>
    <w:rsid w:val="00305E85"/>
    <w:rsid w:val="00305F88"/>
    <w:rsid w:val="003061CB"/>
    <w:rsid w:val="00306271"/>
    <w:rsid w:val="00306470"/>
    <w:rsid w:val="0030655B"/>
    <w:rsid w:val="0030717F"/>
    <w:rsid w:val="00307460"/>
    <w:rsid w:val="003076A1"/>
    <w:rsid w:val="00307D8B"/>
    <w:rsid w:val="00310325"/>
    <w:rsid w:val="003105B3"/>
    <w:rsid w:val="00310622"/>
    <w:rsid w:val="00310F2A"/>
    <w:rsid w:val="00310FEA"/>
    <w:rsid w:val="00311028"/>
    <w:rsid w:val="003113C2"/>
    <w:rsid w:val="00311535"/>
    <w:rsid w:val="003117DE"/>
    <w:rsid w:val="00311871"/>
    <w:rsid w:val="00311AE3"/>
    <w:rsid w:val="0031375A"/>
    <w:rsid w:val="003138CF"/>
    <w:rsid w:val="00313A71"/>
    <w:rsid w:val="00313B83"/>
    <w:rsid w:val="00314BA4"/>
    <w:rsid w:val="0031515A"/>
    <w:rsid w:val="003158B3"/>
    <w:rsid w:val="00315D31"/>
    <w:rsid w:val="00316972"/>
    <w:rsid w:val="00316D26"/>
    <w:rsid w:val="0031701D"/>
    <w:rsid w:val="0031707F"/>
    <w:rsid w:val="003171AF"/>
    <w:rsid w:val="003172E2"/>
    <w:rsid w:val="00317D69"/>
    <w:rsid w:val="00317E3D"/>
    <w:rsid w:val="003201CF"/>
    <w:rsid w:val="00320346"/>
    <w:rsid w:val="0032039B"/>
    <w:rsid w:val="003204B3"/>
    <w:rsid w:val="003204D5"/>
    <w:rsid w:val="00321055"/>
    <w:rsid w:val="003211F5"/>
    <w:rsid w:val="00321EDD"/>
    <w:rsid w:val="00322802"/>
    <w:rsid w:val="003229FE"/>
    <w:rsid w:val="00322AE6"/>
    <w:rsid w:val="003235FC"/>
    <w:rsid w:val="0032395E"/>
    <w:rsid w:val="00323E65"/>
    <w:rsid w:val="00324530"/>
    <w:rsid w:val="00324749"/>
    <w:rsid w:val="00324E3B"/>
    <w:rsid w:val="00324E92"/>
    <w:rsid w:val="0032534A"/>
    <w:rsid w:val="0032556F"/>
    <w:rsid w:val="003256F0"/>
    <w:rsid w:val="00325AD9"/>
    <w:rsid w:val="00325BB6"/>
    <w:rsid w:val="00325E7B"/>
    <w:rsid w:val="00326D2B"/>
    <w:rsid w:val="00326F0A"/>
    <w:rsid w:val="00327874"/>
    <w:rsid w:val="00327A3D"/>
    <w:rsid w:val="00327BF1"/>
    <w:rsid w:val="00327F07"/>
    <w:rsid w:val="003300BE"/>
    <w:rsid w:val="0033011F"/>
    <w:rsid w:val="00330676"/>
    <w:rsid w:val="00330B03"/>
    <w:rsid w:val="00330FE1"/>
    <w:rsid w:val="003314F6"/>
    <w:rsid w:val="00331DC2"/>
    <w:rsid w:val="00332104"/>
    <w:rsid w:val="003324E2"/>
    <w:rsid w:val="003329C3"/>
    <w:rsid w:val="00332A9D"/>
    <w:rsid w:val="00332F10"/>
    <w:rsid w:val="003330BA"/>
    <w:rsid w:val="0033319B"/>
    <w:rsid w:val="003331E5"/>
    <w:rsid w:val="0033320F"/>
    <w:rsid w:val="00333312"/>
    <w:rsid w:val="00333952"/>
    <w:rsid w:val="00333B19"/>
    <w:rsid w:val="00333C0D"/>
    <w:rsid w:val="00333C24"/>
    <w:rsid w:val="00333C7F"/>
    <w:rsid w:val="00333DDA"/>
    <w:rsid w:val="0033434C"/>
    <w:rsid w:val="003346BC"/>
    <w:rsid w:val="00334828"/>
    <w:rsid w:val="003349BF"/>
    <w:rsid w:val="00334B0A"/>
    <w:rsid w:val="00335632"/>
    <w:rsid w:val="00335638"/>
    <w:rsid w:val="0033575D"/>
    <w:rsid w:val="00335B75"/>
    <w:rsid w:val="00335C77"/>
    <w:rsid w:val="00335CA8"/>
    <w:rsid w:val="00335CBB"/>
    <w:rsid w:val="00336111"/>
    <w:rsid w:val="0033612F"/>
    <w:rsid w:val="0033616E"/>
    <w:rsid w:val="00336C66"/>
    <w:rsid w:val="00336D71"/>
    <w:rsid w:val="0033706D"/>
    <w:rsid w:val="003370D3"/>
    <w:rsid w:val="003370E3"/>
    <w:rsid w:val="003370F0"/>
    <w:rsid w:val="003373CE"/>
    <w:rsid w:val="003374D3"/>
    <w:rsid w:val="00337645"/>
    <w:rsid w:val="00337758"/>
    <w:rsid w:val="00337C03"/>
    <w:rsid w:val="00337E25"/>
    <w:rsid w:val="003407BC"/>
    <w:rsid w:val="00340A66"/>
    <w:rsid w:val="00340D60"/>
    <w:rsid w:val="00340DFD"/>
    <w:rsid w:val="00340FF6"/>
    <w:rsid w:val="00341293"/>
    <w:rsid w:val="0034170C"/>
    <w:rsid w:val="00341896"/>
    <w:rsid w:val="00341A51"/>
    <w:rsid w:val="00342831"/>
    <w:rsid w:val="00342C76"/>
    <w:rsid w:val="00342F37"/>
    <w:rsid w:val="003432C9"/>
    <w:rsid w:val="00343A23"/>
    <w:rsid w:val="00343AD8"/>
    <w:rsid w:val="00344687"/>
    <w:rsid w:val="003448CF"/>
    <w:rsid w:val="00344CD3"/>
    <w:rsid w:val="003456EA"/>
    <w:rsid w:val="0034582E"/>
    <w:rsid w:val="00345837"/>
    <w:rsid w:val="00345901"/>
    <w:rsid w:val="0034594A"/>
    <w:rsid w:val="00346139"/>
    <w:rsid w:val="003462B7"/>
    <w:rsid w:val="00346872"/>
    <w:rsid w:val="00346ED0"/>
    <w:rsid w:val="0034747A"/>
    <w:rsid w:val="003476B2"/>
    <w:rsid w:val="00347D11"/>
    <w:rsid w:val="00347DEA"/>
    <w:rsid w:val="00347E22"/>
    <w:rsid w:val="00350018"/>
    <w:rsid w:val="00350546"/>
    <w:rsid w:val="00350576"/>
    <w:rsid w:val="003508A2"/>
    <w:rsid w:val="003510A1"/>
    <w:rsid w:val="00351713"/>
    <w:rsid w:val="0035190E"/>
    <w:rsid w:val="00351B20"/>
    <w:rsid w:val="00351F63"/>
    <w:rsid w:val="00352157"/>
    <w:rsid w:val="00352397"/>
    <w:rsid w:val="003524C9"/>
    <w:rsid w:val="003529D2"/>
    <w:rsid w:val="00352AAA"/>
    <w:rsid w:val="00352BFE"/>
    <w:rsid w:val="00352D16"/>
    <w:rsid w:val="00352DCC"/>
    <w:rsid w:val="0035301A"/>
    <w:rsid w:val="003530F6"/>
    <w:rsid w:val="003538D5"/>
    <w:rsid w:val="00353C2E"/>
    <w:rsid w:val="00354116"/>
    <w:rsid w:val="0035438F"/>
    <w:rsid w:val="00354400"/>
    <w:rsid w:val="0035462D"/>
    <w:rsid w:val="003546B4"/>
    <w:rsid w:val="00354801"/>
    <w:rsid w:val="003548E8"/>
    <w:rsid w:val="00354A30"/>
    <w:rsid w:val="003551D3"/>
    <w:rsid w:val="00355A7C"/>
    <w:rsid w:val="00355E58"/>
    <w:rsid w:val="0035622B"/>
    <w:rsid w:val="003562F1"/>
    <w:rsid w:val="0035650D"/>
    <w:rsid w:val="00356512"/>
    <w:rsid w:val="00356E68"/>
    <w:rsid w:val="0035704C"/>
    <w:rsid w:val="003572AC"/>
    <w:rsid w:val="00357530"/>
    <w:rsid w:val="00357BEC"/>
    <w:rsid w:val="00357FC7"/>
    <w:rsid w:val="0036012D"/>
    <w:rsid w:val="00360395"/>
    <w:rsid w:val="003604EB"/>
    <w:rsid w:val="003605DF"/>
    <w:rsid w:val="00360E34"/>
    <w:rsid w:val="003611C8"/>
    <w:rsid w:val="003612B3"/>
    <w:rsid w:val="003612D2"/>
    <w:rsid w:val="003613B8"/>
    <w:rsid w:val="00361766"/>
    <w:rsid w:val="0036182A"/>
    <w:rsid w:val="0036190D"/>
    <w:rsid w:val="00361A99"/>
    <w:rsid w:val="00361EBE"/>
    <w:rsid w:val="00362042"/>
    <w:rsid w:val="0036228A"/>
    <w:rsid w:val="00363579"/>
    <w:rsid w:val="00363903"/>
    <w:rsid w:val="00363FDC"/>
    <w:rsid w:val="003642F1"/>
    <w:rsid w:val="00364409"/>
    <w:rsid w:val="003647FB"/>
    <w:rsid w:val="00364963"/>
    <w:rsid w:val="00364ABF"/>
    <w:rsid w:val="00364E01"/>
    <w:rsid w:val="003656F2"/>
    <w:rsid w:val="00365795"/>
    <w:rsid w:val="00365D41"/>
    <w:rsid w:val="00366276"/>
    <w:rsid w:val="00366336"/>
    <w:rsid w:val="003668CD"/>
    <w:rsid w:val="0036691A"/>
    <w:rsid w:val="00367C37"/>
    <w:rsid w:val="00367E13"/>
    <w:rsid w:val="00370238"/>
    <w:rsid w:val="0037062B"/>
    <w:rsid w:val="00370A60"/>
    <w:rsid w:val="00370B66"/>
    <w:rsid w:val="00371229"/>
    <w:rsid w:val="0037127B"/>
    <w:rsid w:val="003712BA"/>
    <w:rsid w:val="0037137E"/>
    <w:rsid w:val="00372862"/>
    <w:rsid w:val="00372A5E"/>
    <w:rsid w:val="00372B0C"/>
    <w:rsid w:val="00372D1E"/>
    <w:rsid w:val="00372F5F"/>
    <w:rsid w:val="00373305"/>
    <w:rsid w:val="00373A1B"/>
    <w:rsid w:val="00373A63"/>
    <w:rsid w:val="00373D9A"/>
    <w:rsid w:val="00374263"/>
    <w:rsid w:val="003742A5"/>
    <w:rsid w:val="003749BE"/>
    <w:rsid w:val="00374D3C"/>
    <w:rsid w:val="00375284"/>
    <w:rsid w:val="003754F6"/>
    <w:rsid w:val="00376763"/>
    <w:rsid w:val="00376E83"/>
    <w:rsid w:val="00376F43"/>
    <w:rsid w:val="003773D3"/>
    <w:rsid w:val="003779A7"/>
    <w:rsid w:val="00377E9F"/>
    <w:rsid w:val="0038055A"/>
    <w:rsid w:val="00381203"/>
    <w:rsid w:val="00381692"/>
    <w:rsid w:val="00381C64"/>
    <w:rsid w:val="00381CB4"/>
    <w:rsid w:val="00381E65"/>
    <w:rsid w:val="00382AA6"/>
    <w:rsid w:val="003832BE"/>
    <w:rsid w:val="00383323"/>
    <w:rsid w:val="00383660"/>
    <w:rsid w:val="003839DD"/>
    <w:rsid w:val="00383CAC"/>
    <w:rsid w:val="00383F42"/>
    <w:rsid w:val="00383F76"/>
    <w:rsid w:val="00384057"/>
    <w:rsid w:val="003840AF"/>
    <w:rsid w:val="003842BD"/>
    <w:rsid w:val="003842DB"/>
    <w:rsid w:val="003842F2"/>
    <w:rsid w:val="003843DE"/>
    <w:rsid w:val="00384546"/>
    <w:rsid w:val="00384ABD"/>
    <w:rsid w:val="00384C32"/>
    <w:rsid w:val="00384F6D"/>
    <w:rsid w:val="0038509E"/>
    <w:rsid w:val="003850C3"/>
    <w:rsid w:val="0038534A"/>
    <w:rsid w:val="00385718"/>
    <w:rsid w:val="00385AB2"/>
    <w:rsid w:val="00385DAF"/>
    <w:rsid w:val="00385E3E"/>
    <w:rsid w:val="00386406"/>
    <w:rsid w:val="0038641F"/>
    <w:rsid w:val="00386476"/>
    <w:rsid w:val="00386530"/>
    <w:rsid w:val="003866DE"/>
    <w:rsid w:val="003868AD"/>
    <w:rsid w:val="003871CF"/>
    <w:rsid w:val="00387465"/>
    <w:rsid w:val="0038755B"/>
    <w:rsid w:val="003879FA"/>
    <w:rsid w:val="00387A26"/>
    <w:rsid w:val="00390253"/>
    <w:rsid w:val="00390449"/>
    <w:rsid w:val="00390604"/>
    <w:rsid w:val="003908CC"/>
    <w:rsid w:val="0039090D"/>
    <w:rsid w:val="00390972"/>
    <w:rsid w:val="00390BD9"/>
    <w:rsid w:val="00390C0E"/>
    <w:rsid w:val="00391651"/>
    <w:rsid w:val="00391A7D"/>
    <w:rsid w:val="00391DB5"/>
    <w:rsid w:val="00391EB8"/>
    <w:rsid w:val="00392967"/>
    <w:rsid w:val="00392F13"/>
    <w:rsid w:val="00392F59"/>
    <w:rsid w:val="00393255"/>
    <w:rsid w:val="00393453"/>
    <w:rsid w:val="003934B9"/>
    <w:rsid w:val="0039418F"/>
    <w:rsid w:val="003949CE"/>
    <w:rsid w:val="00394B14"/>
    <w:rsid w:val="00395137"/>
    <w:rsid w:val="003951EA"/>
    <w:rsid w:val="00395201"/>
    <w:rsid w:val="00395340"/>
    <w:rsid w:val="003953A5"/>
    <w:rsid w:val="003953E0"/>
    <w:rsid w:val="003955FC"/>
    <w:rsid w:val="00395664"/>
    <w:rsid w:val="0039571F"/>
    <w:rsid w:val="00395B1E"/>
    <w:rsid w:val="00395D0F"/>
    <w:rsid w:val="003962AC"/>
    <w:rsid w:val="00396350"/>
    <w:rsid w:val="003968F3"/>
    <w:rsid w:val="00396986"/>
    <w:rsid w:val="00396ED3"/>
    <w:rsid w:val="003975F2"/>
    <w:rsid w:val="00397C76"/>
    <w:rsid w:val="00397CBD"/>
    <w:rsid w:val="00397DA3"/>
    <w:rsid w:val="00397E34"/>
    <w:rsid w:val="00397EC5"/>
    <w:rsid w:val="003A0133"/>
    <w:rsid w:val="003A0173"/>
    <w:rsid w:val="003A01E6"/>
    <w:rsid w:val="003A01EE"/>
    <w:rsid w:val="003A0278"/>
    <w:rsid w:val="003A0A77"/>
    <w:rsid w:val="003A1842"/>
    <w:rsid w:val="003A18FE"/>
    <w:rsid w:val="003A1A72"/>
    <w:rsid w:val="003A1DED"/>
    <w:rsid w:val="003A2297"/>
    <w:rsid w:val="003A242A"/>
    <w:rsid w:val="003A2A08"/>
    <w:rsid w:val="003A306F"/>
    <w:rsid w:val="003A3166"/>
    <w:rsid w:val="003A3279"/>
    <w:rsid w:val="003A3489"/>
    <w:rsid w:val="003A3838"/>
    <w:rsid w:val="003A3C51"/>
    <w:rsid w:val="003A3F80"/>
    <w:rsid w:val="003A4171"/>
    <w:rsid w:val="003A4606"/>
    <w:rsid w:val="003A491A"/>
    <w:rsid w:val="003A4ECF"/>
    <w:rsid w:val="003A50F7"/>
    <w:rsid w:val="003A5413"/>
    <w:rsid w:val="003A5D65"/>
    <w:rsid w:val="003A6379"/>
    <w:rsid w:val="003A6400"/>
    <w:rsid w:val="003A6494"/>
    <w:rsid w:val="003A66D8"/>
    <w:rsid w:val="003A6777"/>
    <w:rsid w:val="003A67EE"/>
    <w:rsid w:val="003A68BD"/>
    <w:rsid w:val="003A6F67"/>
    <w:rsid w:val="003A75A1"/>
    <w:rsid w:val="003A7882"/>
    <w:rsid w:val="003A78E2"/>
    <w:rsid w:val="003A79DE"/>
    <w:rsid w:val="003A7E93"/>
    <w:rsid w:val="003B04D5"/>
    <w:rsid w:val="003B07AB"/>
    <w:rsid w:val="003B0BE4"/>
    <w:rsid w:val="003B0C02"/>
    <w:rsid w:val="003B0D2D"/>
    <w:rsid w:val="003B10A6"/>
    <w:rsid w:val="003B14C3"/>
    <w:rsid w:val="003B1690"/>
    <w:rsid w:val="003B19A3"/>
    <w:rsid w:val="003B1D9F"/>
    <w:rsid w:val="003B288F"/>
    <w:rsid w:val="003B2906"/>
    <w:rsid w:val="003B2E2F"/>
    <w:rsid w:val="003B383B"/>
    <w:rsid w:val="003B3AC8"/>
    <w:rsid w:val="003B3E97"/>
    <w:rsid w:val="003B4144"/>
    <w:rsid w:val="003B425B"/>
    <w:rsid w:val="003B534B"/>
    <w:rsid w:val="003B5766"/>
    <w:rsid w:val="003B59B0"/>
    <w:rsid w:val="003B5BC1"/>
    <w:rsid w:val="003B621A"/>
    <w:rsid w:val="003B6453"/>
    <w:rsid w:val="003B6DD5"/>
    <w:rsid w:val="003B70B4"/>
    <w:rsid w:val="003B70EC"/>
    <w:rsid w:val="003B7224"/>
    <w:rsid w:val="003B782B"/>
    <w:rsid w:val="003C0378"/>
    <w:rsid w:val="003C0447"/>
    <w:rsid w:val="003C0B7F"/>
    <w:rsid w:val="003C0BD5"/>
    <w:rsid w:val="003C0BE2"/>
    <w:rsid w:val="003C0D11"/>
    <w:rsid w:val="003C0F44"/>
    <w:rsid w:val="003C1CD8"/>
    <w:rsid w:val="003C24D5"/>
    <w:rsid w:val="003C2513"/>
    <w:rsid w:val="003C2544"/>
    <w:rsid w:val="003C2761"/>
    <w:rsid w:val="003C2912"/>
    <w:rsid w:val="003C2A8B"/>
    <w:rsid w:val="003C2DF3"/>
    <w:rsid w:val="003C2E24"/>
    <w:rsid w:val="003C31C0"/>
    <w:rsid w:val="003C345D"/>
    <w:rsid w:val="003C3778"/>
    <w:rsid w:val="003C3BC1"/>
    <w:rsid w:val="003C3D79"/>
    <w:rsid w:val="003C4041"/>
    <w:rsid w:val="003C47CE"/>
    <w:rsid w:val="003C486D"/>
    <w:rsid w:val="003C4948"/>
    <w:rsid w:val="003C4DEF"/>
    <w:rsid w:val="003C574A"/>
    <w:rsid w:val="003C582F"/>
    <w:rsid w:val="003C5845"/>
    <w:rsid w:val="003C59CD"/>
    <w:rsid w:val="003C5DC2"/>
    <w:rsid w:val="003C6314"/>
    <w:rsid w:val="003C644E"/>
    <w:rsid w:val="003C6610"/>
    <w:rsid w:val="003C6762"/>
    <w:rsid w:val="003C745F"/>
    <w:rsid w:val="003C7545"/>
    <w:rsid w:val="003C774A"/>
    <w:rsid w:val="003D0460"/>
    <w:rsid w:val="003D08C1"/>
    <w:rsid w:val="003D0C9E"/>
    <w:rsid w:val="003D1C45"/>
    <w:rsid w:val="003D29A9"/>
    <w:rsid w:val="003D2B51"/>
    <w:rsid w:val="003D2BA2"/>
    <w:rsid w:val="003D2BFE"/>
    <w:rsid w:val="003D3B53"/>
    <w:rsid w:val="003D3D12"/>
    <w:rsid w:val="003D4135"/>
    <w:rsid w:val="003D4338"/>
    <w:rsid w:val="003D455E"/>
    <w:rsid w:val="003D5D16"/>
    <w:rsid w:val="003D5E82"/>
    <w:rsid w:val="003D5F15"/>
    <w:rsid w:val="003D6582"/>
    <w:rsid w:val="003D67FA"/>
    <w:rsid w:val="003D6BDE"/>
    <w:rsid w:val="003D73FE"/>
    <w:rsid w:val="003D746F"/>
    <w:rsid w:val="003D77FF"/>
    <w:rsid w:val="003D7C06"/>
    <w:rsid w:val="003E0415"/>
    <w:rsid w:val="003E043D"/>
    <w:rsid w:val="003E04CE"/>
    <w:rsid w:val="003E06F7"/>
    <w:rsid w:val="003E0977"/>
    <w:rsid w:val="003E0E13"/>
    <w:rsid w:val="003E1759"/>
    <w:rsid w:val="003E1A40"/>
    <w:rsid w:val="003E1ACE"/>
    <w:rsid w:val="003E1AF7"/>
    <w:rsid w:val="003E2B77"/>
    <w:rsid w:val="003E2BA3"/>
    <w:rsid w:val="003E30E1"/>
    <w:rsid w:val="003E3B2C"/>
    <w:rsid w:val="003E3D81"/>
    <w:rsid w:val="003E4674"/>
    <w:rsid w:val="003E471D"/>
    <w:rsid w:val="003E48E6"/>
    <w:rsid w:val="003E4990"/>
    <w:rsid w:val="003E4B42"/>
    <w:rsid w:val="003E4FF6"/>
    <w:rsid w:val="003E53EF"/>
    <w:rsid w:val="003E5C6E"/>
    <w:rsid w:val="003E5F7A"/>
    <w:rsid w:val="003E5FF9"/>
    <w:rsid w:val="003E68F2"/>
    <w:rsid w:val="003E6D89"/>
    <w:rsid w:val="003E70AE"/>
    <w:rsid w:val="003E7215"/>
    <w:rsid w:val="003E74D4"/>
    <w:rsid w:val="003E78E4"/>
    <w:rsid w:val="003E79CA"/>
    <w:rsid w:val="003F00A4"/>
    <w:rsid w:val="003F0239"/>
    <w:rsid w:val="003F02A7"/>
    <w:rsid w:val="003F063F"/>
    <w:rsid w:val="003F06F4"/>
    <w:rsid w:val="003F09F2"/>
    <w:rsid w:val="003F0BC8"/>
    <w:rsid w:val="003F0F0A"/>
    <w:rsid w:val="003F0FC9"/>
    <w:rsid w:val="003F10DC"/>
    <w:rsid w:val="003F1623"/>
    <w:rsid w:val="003F169E"/>
    <w:rsid w:val="003F1C66"/>
    <w:rsid w:val="003F2033"/>
    <w:rsid w:val="003F2295"/>
    <w:rsid w:val="003F22F1"/>
    <w:rsid w:val="003F2513"/>
    <w:rsid w:val="003F2884"/>
    <w:rsid w:val="003F28A7"/>
    <w:rsid w:val="003F2B64"/>
    <w:rsid w:val="003F2CC8"/>
    <w:rsid w:val="003F2DE8"/>
    <w:rsid w:val="003F310C"/>
    <w:rsid w:val="003F3748"/>
    <w:rsid w:val="003F3858"/>
    <w:rsid w:val="003F3ED4"/>
    <w:rsid w:val="003F4762"/>
    <w:rsid w:val="003F4AE3"/>
    <w:rsid w:val="003F4CFC"/>
    <w:rsid w:val="003F4D3B"/>
    <w:rsid w:val="003F508A"/>
    <w:rsid w:val="003F52C7"/>
    <w:rsid w:val="003F55DA"/>
    <w:rsid w:val="003F5957"/>
    <w:rsid w:val="003F5B65"/>
    <w:rsid w:val="003F5E80"/>
    <w:rsid w:val="003F6308"/>
    <w:rsid w:val="003F65A2"/>
    <w:rsid w:val="003F67BD"/>
    <w:rsid w:val="003F69B8"/>
    <w:rsid w:val="003F6A87"/>
    <w:rsid w:val="003F73AB"/>
    <w:rsid w:val="003F79FC"/>
    <w:rsid w:val="003F7E32"/>
    <w:rsid w:val="003F7EAD"/>
    <w:rsid w:val="004000F2"/>
    <w:rsid w:val="004002D9"/>
    <w:rsid w:val="004002FE"/>
    <w:rsid w:val="00400741"/>
    <w:rsid w:val="00401756"/>
    <w:rsid w:val="00401B0D"/>
    <w:rsid w:val="00402212"/>
    <w:rsid w:val="004022BB"/>
    <w:rsid w:val="0040277E"/>
    <w:rsid w:val="00402A04"/>
    <w:rsid w:val="00402F16"/>
    <w:rsid w:val="00402FE1"/>
    <w:rsid w:val="004031DC"/>
    <w:rsid w:val="0040353B"/>
    <w:rsid w:val="00403D0A"/>
    <w:rsid w:val="00403FCC"/>
    <w:rsid w:val="004040E2"/>
    <w:rsid w:val="0040472A"/>
    <w:rsid w:val="00404769"/>
    <w:rsid w:val="00404F64"/>
    <w:rsid w:val="00405104"/>
    <w:rsid w:val="00405474"/>
    <w:rsid w:val="00405D67"/>
    <w:rsid w:val="00405E00"/>
    <w:rsid w:val="004062B9"/>
    <w:rsid w:val="004063A6"/>
    <w:rsid w:val="004066AF"/>
    <w:rsid w:val="00406738"/>
    <w:rsid w:val="004067EF"/>
    <w:rsid w:val="004067F0"/>
    <w:rsid w:val="00406D56"/>
    <w:rsid w:val="0040732A"/>
    <w:rsid w:val="004079DF"/>
    <w:rsid w:val="00407B6E"/>
    <w:rsid w:val="00407BDA"/>
    <w:rsid w:val="00410358"/>
    <w:rsid w:val="004103E4"/>
    <w:rsid w:val="00410852"/>
    <w:rsid w:val="00410FA5"/>
    <w:rsid w:val="0041147F"/>
    <w:rsid w:val="004114D9"/>
    <w:rsid w:val="004119DF"/>
    <w:rsid w:val="00411A68"/>
    <w:rsid w:val="00411DAD"/>
    <w:rsid w:val="00411F83"/>
    <w:rsid w:val="0041205D"/>
    <w:rsid w:val="00412421"/>
    <w:rsid w:val="00412678"/>
    <w:rsid w:val="00413069"/>
    <w:rsid w:val="0041318D"/>
    <w:rsid w:val="00413603"/>
    <w:rsid w:val="00413B30"/>
    <w:rsid w:val="00413B91"/>
    <w:rsid w:val="00413D44"/>
    <w:rsid w:val="00413DD2"/>
    <w:rsid w:val="004142E6"/>
    <w:rsid w:val="00415016"/>
    <w:rsid w:val="00415433"/>
    <w:rsid w:val="004154AD"/>
    <w:rsid w:val="00415526"/>
    <w:rsid w:val="00415559"/>
    <w:rsid w:val="00415A3A"/>
    <w:rsid w:val="004161B2"/>
    <w:rsid w:val="0041721F"/>
    <w:rsid w:val="0041732D"/>
    <w:rsid w:val="0041739E"/>
    <w:rsid w:val="004176DA"/>
    <w:rsid w:val="00417AB1"/>
    <w:rsid w:val="00417AEA"/>
    <w:rsid w:val="00417F3D"/>
    <w:rsid w:val="004202E5"/>
    <w:rsid w:val="00420D1D"/>
    <w:rsid w:val="00420D4F"/>
    <w:rsid w:val="00421826"/>
    <w:rsid w:val="00421967"/>
    <w:rsid w:val="00421A16"/>
    <w:rsid w:val="00421B12"/>
    <w:rsid w:val="00421CD4"/>
    <w:rsid w:val="00422105"/>
    <w:rsid w:val="00422601"/>
    <w:rsid w:val="0042260C"/>
    <w:rsid w:val="0042277D"/>
    <w:rsid w:val="004227F6"/>
    <w:rsid w:val="004229B3"/>
    <w:rsid w:val="00422D6C"/>
    <w:rsid w:val="004235C4"/>
    <w:rsid w:val="00423C53"/>
    <w:rsid w:val="00423DF6"/>
    <w:rsid w:val="00424355"/>
    <w:rsid w:val="00424763"/>
    <w:rsid w:val="004247A7"/>
    <w:rsid w:val="00424B73"/>
    <w:rsid w:val="00425123"/>
    <w:rsid w:val="004252D8"/>
    <w:rsid w:val="00425758"/>
    <w:rsid w:val="00425841"/>
    <w:rsid w:val="00425897"/>
    <w:rsid w:val="00425CC9"/>
    <w:rsid w:val="004261EE"/>
    <w:rsid w:val="004263CE"/>
    <w:rsid w:val="00426A88"/>
    <w:rsid w:val="00426B34"/>
    <w:rsid w:val="004271E4"/>
    <w:rsid w:val="00427454"/>
    <w:rsid w:val="0042752E"/>
    <w:rsid w:val="00427B7B"/>
    <w:rsid w:val="00427D07"/>
    <w:rsid w:val="00430513"/>
    <w:rsid w:val="004308B6"/>
    <w:rsid w:val="0043111D"/>
    <w:rsid w:val="00431577"/>
    <w:rsid w:val="00431A57"/>
    <w:rsid w:val="00432036"/>
    <w:rsid w:val="004320FF"/>
    <w:rsid w:val="004325BC"/>
    <w:rsid w:val="004326B6"/>
    <w:rsid w:val="004326E5"/>
    <w:rsid w:val="004329F0"/>
    <w:rsid w:val="00432DB4"/>
    <w:rsid w:val="00432F7E"/>
    <w:rsid w:val="004330F9"/>
    <w:rsid w:val="00433535"/>
    <w:rsid w:val="004336A4"/>
    <w:rsid w:val="0043374D"/>
    <w:rsid w:val="004337B1"/>
    <w:rsid w:val="00433C40"/>
    <w:rsid w:val="004340EB"/>
    <w:rsid w:val="00434276"/>
    <w:rsid w:val="00434577"/>
    <w:rsid w:val="00434E1C"/>
    <w:rsid w:val="00434EA1"/>
    <w:rsid w:val="00434F29"/>
    <w:rsid w:val="004353F9"/>
    <w:rsid w:val="00435825"/>
    <w:rsid w:val="004358EB"/>
    <w:rsid w:val="00435CA6"/>
    <w:rsid w:val="0043670F"/>
    <w:rsid w:val="004368B7"/>
    <w:rsid w:val="00436985"/>
    <w:rsid w:val="00436A28"/>
    <w:rsid w:val="00436E81"/>
    <w:rsid w:val="00437123"/>
    <w:rsid w:val="00437124"/>
    <w:rsid w:val="0043786D"/>
    <w:rsid w:val="004378DF"/>
    <w:rsid w:val="004379F1"/>
    <w:rsid w:val="00440072"/>
    <w:rsid w:val="004402B1"/>
    <w:rsid w:val="00440606"/>
    <w:rsid w:val="00440828"/>
    <w:rsid w:val="004410AA"/>
    <w:rsid w:val="004415F8"/>
    <w:rsid w:val="004416E5"/>
    <w:rsid w:val="004417B1"/>
    <w:rsid w:val="00441984"/>
    <w:rsid w:val="00441DB9"/>
    <w:rsid w:val="004420BE"/>
    <w:rsid w:val="00442500"/>
    <w:rsid w:val="00442530"/>
    <w:rsid w:val="00442610"/>
    <w:rsid w:val="00442C2E"/>
    <w:rsid w:val="00443011"/>
    <w:rsid w:val="00443199"/>
    <w:rsid w:val="004431FE"/>
    <w:rsid w:val="00443282"/>
    <w:rsid w:val="00443463"/>
    <w:rsid w:val="004438FC"/>
    <w:rsid w:val="0044426D"/>
    <w:rsid w:val="00444650"/>
    <w:rsid w:val="00444685"/>
    <w:rsid w:val="00444A51"/>
    <w:rsid w:val="00444F7A"/>
    <w:rsid w:val="0044593E"/>
    <w:rsid w:val="004459AB"/>
    <w:rsid w:val="004459C8"/>
    <w:rsid w:val="00445A10"/>
    <w:rsid w:val="00445FAC"/>
    <w:rsid w:val="0044619C"/>
    <w:rsid w:val="00446340"/>
    <w:rsid w:val="0044681F"/>
    <w:rsid w:val="00446C2B"/>
    <w:rsid w:val="004471D8"/>
    <w:rsid w:val="00447860"/>
    <w:rsid w:val="00447902"/>
    <w:rsid w:val="004479C5"/>
    <w:rsid w:val="004500CD"/>
    <w:rsid w:val="00450159"/>
    <w:rsid w:val="004502C4"/>
    <w:rsid w:val="00450A96"/>
    <w:rsid w:val="00450D83"/>
    <w:rsid w:val="00450D94"/>
    <w:rsid w:val="004511CA"/>
    <w:rsid w:val="0045142F"/>
    <w:rsid w:val="0045156D"/>
    <w:rsid w:val="00451AB1"/>
    <w:rsid w:val="004523F5"/>
    <w:rsid w:val="00452779"/>
    <w:rsid w:val="00452EE8"/>
    <w:rsid w:val="00452FE1"/>
    <w:rsid w:val="00453413"/>
    <w:rsid w:val="004538DA"/>
    <w:rsid w:val="00453DB7"/>
    <w:rsid w:val="00453FE2"/>
    <w:rsid w:val="00454787"/>
    <w:rsid w:val="00454E2B"/>
    <w:rsid w:val="00455C79"/>
    <w:rsid w:val="00456168"/>
    <w:rsid w:val="00456D25"/>
    <w:rsid w:val="00456FB9"/>
    <w:rsid w:val="004570E4"/>
    <w:rsid w:val="00457183"/>
    <w:rsid w:val="0045732A"/>
    <w:rsid w:val="0045737E"/>
    <w:rsid w:val="0045777E"/>
    <w:rsid w:val="004578CA"/>
    <w:rsid w:val="00457A7C"/>
    <w:rsid w:val="00460629"/>
    <w:rsid w:val="004606C5"/>
    <w:rsid w:val="00461C58"/>
    <w:rsid w:val="00462336"/>
    <w:rsid w:val="00462661"/>
    <w:rsid w:val="00462B4C"/>
    <w:rsid w:val="00462D52"/>
    <w:rsid w:val="004635FB"/>
    <w:rsid w:val="0046375D"/>
    <w:rsid w:val="00463F96"/>
    <w:rsid w:val="00464117"/>
    <w:rsid w:val="00464663"/>
    <w:rsid w:val="00464A78"/>
    <w:rsid w:val="004650F2"/>
    <w:rsid w:val="004653B1"/>
    <w:rsid w:val="0046562F"/>
    <w:rsid w:val="00466861"/>
    <w:rsid w:val="00466A23"/>
    <w:rsid w:val="00466AEC"/>
    <w:rsid w:val="00466E04"/>
    <w:rsid w:val="00466F3F"/>
    <w:rsid w:val="004674FE"/>
    <w:rsid w:val="0046760D"/>
    <w:rsid w:val="0046774C"/>
    <w:rsid w:val="0046778F"/>
    <w:rsid w:val="00467B52"/>
    <w:rsid w:val="00467C6A"/>
    <w:rsid w:val="00470BDD"/>
    <w:rsid w:val="00470D1F"/>
    <w:rsid w:val="00470FF7"/>
    <w:rsid w:val="00471031"/>
    <w:rsid w:val="0047122F"/>
    <w:rsid w:val="00471A8C"/>
    <w:rsid w:val="00471B92"/>
    <w:rsid w:val="00472099"/>
    <w:rsid w:val="00472739"/>
    <w:rsid w:val="0047288C"/>
    <w:rsid w:val="00472943"/>
    <w:rsid w:val="00472BAD"/>
    <w:rsid w:val="00472C30"/>
    <w:rsid w:val="0047310A"/>
    <w:rsid w:val="004731A3"/>
    <w:rsid w:val="004731DE"/>
    <w:rsid w:val="00473320"/>
    <w:rsid w:val="004733B6"/>
    <w:rsid w:val="00473ACD"/>
    <w:rsid w:val="00473BB7"/>
    <w:rsid w:val="00473C35"/>
    <w:rsid w:val="004742FB"/>
    <w:rsid w:val="0047469E"/>
    <w:rsid w:val="0047492D"/>
    <w:rsid w:val="00474939"/>
    <w:rsid w:val="00474A78"/>
    <w:rsid w:val="0047526A"/>
    <w:rsid w:val="00475505"/>
    <w:rsid w:val="00475553"/>
    <w:rsid w:val="00475EE7"/>
    <w:rsid w:val="00476696"/>
    <w:rsid w:val="004768BD"/>
    <w:rsid w:val="00476CB1"/>
    <w:rsid w:val="00476F48"/>
    <w:rsid w:val="00477121"/>
    <w:rsid w:val="00477158"/>
    <w:rsid w:val="00477239"/>
    <w:rsid w:val="004777C6"/>
    <w:rsid w:val="00477869"/>
    <w:rsid w:val="00477CC2"/>
    <w:rsid w:val="0048028E"/>
    <w:rsid w:val="004802AC"/>
    <w:rsid w:val="004803A4"/>
    <w:rsid w:val="0048076A"/>
    <w:rsid w:val="004809D6"/>
    <w:rsid w:val="00480BED"/>
    <w:rsid w:val="00481052"/>
    <w:rsid w:val="004819BB"/>
    <w:rsid w:val="00482078"/>
    <w:rsid w:val="00482891"/>
    <w:rsid w:val="0048293F"/>
    <w:rsid w:val="004829EC"/>
    <w:rsid w:val="00482B4C"/>
    <w:rsid w:val="00482F9A"/>
    <w:rsid w:val="004831CE"/>
    <w:rsid w:val="00483235"/>
    <w:rsid w:val="00483575"/>
    <w:rsid w:val="004837B7"/>
    <w:rsid w:val="0048383C"/>
    <w:rsid w:val="00483DF8"/>
    <w:rsid w:val="00483E18"/>
    <w:rsid w:val="0048400F"/>
    <w:rsid w:val="0048402A"/>
    <w:rsid w:val="00484176"/>
    <w:rsid w:val="004845BC"/>
    <w:rsid w:val="004845C1"/>
    <w:rsid w:val="004849CF"/>
    <w:rsid w:val="0048531B"/>
    <w:rsid w:val="004858B1"/>
    <w:rsid w:val="00485A68"/>
    <w:rsid w:val="004860E9"/>
    <w:rsid w:val="0048617E"/>
    <w:rsid w:val="004862FF"/>
    <w:rsid w:val="004866E6"/>
    <w:rsid w:val="00486966"/>
    <w:rsid w:val="00487067"/>
    <w:rsid w:val="00487494"/>
    <w:rsid w:val="00487532"/>
    <w:rsid w:val="00487C99"/>
    <w:rsid w:val="00487FBA"/>
    <w:rsid w:val="0049021C"/>
    <w:rsid w:val="00490285"/>
    <w:rsid w:val="0049041B"/>
    <w:rsid w:val="00490599"/>
    <w:rsid w:val="004905D8"/>
    <w:rsid w:val="00490B58"/>
    <w:rsid w:val="00490E2F"/>
    <w:rsid w:val="00490F7F"/>
    <w:rsid w:val="004919D0"/>
    <w:rsid w:val="00491BB4"/>
    <w:rsid w:val="00491E64"/>
    <w:rsid w:val="004926AC"/>
    <w:rsid w:val="004928E6"/>
    <w:rsid w:val="00492980"/>
    <w:rsid w:val="004929D3"/>
    <w:rsid w:val="00492A0B"/>
    <w:rsid w:val="00492A72"/>
    <w:rsid w:val="00492F68"/>
    <w:rsid w:val="00492FFE"/>
    <w:rsid w:val="0049316F"/>
    <w:rsid w:val="004931F4"/>
    <w:rsid w:val="00493656"/>
    <w:rsid w:val="00493F3D"/>
    <w:rsid w:val="00494001"/>
    <w:rsid w:val="004944EE"/>
    <w:rsid w:val="0049470B"/>
    <w:rsid w:val="004948BB"/>
    <w:rsid w:val="00495181"/>
    <w:rsid w:val="0049541C"/>
    <w:rsid w:val="004955DC"/>
    <w:rsid w:val="00495873"/>
    <w:rsid w:val="00495AED"/>
    <w:rsid w:val="00495D21"/>
    <w:rsid w:val="00495DEA"/>
    <w:rsid w:val="00495E1D"/>
    <w:rsid w:val="00496335"/>
    <w:rsid w:val="004968C7"/>
    <w:rsid w:val="0049710A"/>
    <w:rsid w:val="004972D7"/>
    <w:rsid w:val="00497CF9"/>
    <w:rsid w:val="00497D7F"/>
    <w:rsid w:val="00497E9F"/>
    <w:rsid w:val="004A0704"/>
    <w:rsid w:val="004A0F8E"/>
    <w:rsid w:val="004A1227"/>
    <w:rsid w:val="004A1716"/>
    <w:rsid w:val="004A1A2C"/>
    <w:rsid w:val="004A1B99"/>
    <w:rsid w:val="004A2292"/>
    <w:rsid w:val="004A233A"/>
    <w:rsid w:val="004A2D5E"/>
    <w:rsid w:val="004A2D97"/>
    <w:rsid w:val="004A2EC8"/>
    <w:rsid w:val="004A3186"/>
    <w:rsid w:val="004A320B"/>
    <w:rsid w:val="004A35AA"/>
    <w:rsid w:val="004A37BE"/>
    <w:rsid w:val="004A398C"/>
    <w:rsid w:val="004A3B2F"/>
    <w:rsid w:val="004A3D54"/>
    <w:rsid w:val="004A41DB"/>
    <w:rsid w:val="004A44AC"/>
    <w:rsid w:val="004A48A4"/>
    <w:rsid w:val="004A5015"/>
    <w:rsid w:val="004A51D3"/>
    <w:rsid w:val="004A52CC"/>
    <w:rsid w:val="004A579C"/>
    <w:rsid w:val="004A587B"/>
    <w:rsid w:val="004A58DF"/>
    <w:rsid w:val="004A5C50"/>
    <w:rsid w:val="004A5FF6"/>
    <w:rsid w:val="004A640C"/>
    <w:rsid w:val="004A6592"/>
    <w:rsid w:val="004A6A27"/>
    <w:rsid w:val="004A72A9"/>
    <w:rsid w:val="004A7320"/>
    <w:rsid w:val="004A7405"/>
    <w:rsid w:val="004A7918"/>
    <w:rsid w:val="004A7986"/>
    <w:rsid w:val="004A7C48"/>
    <w:rsid w:val="004A7C7C"/>
    <w:rsid w:val="004A7FE6"/>
    <w:rsid w:val="004B025B"/>
    <w:rsid w:val="004B0304"/>
    <w:rsid w:val="004B048D"/>
    <w:rsid w:val="004B054E"/>
    <w:rsid w:val="004B06E3"/>
    <w:rsid w:val="004B083C"/>
    <w:rsid w:val="004B0AC5"/>
    <w:rsid w:val="004B0ADB"/>
    <w:rsid w:val="004B0C0E"/>
    <w:rsid w:val="004B0F55"/>
    <w:rsid w:val="004B1176"/>
    <w:rsid w:val="004B13CE"/>
    <w:rsid w:val="004B1425"/>
    <w:rsid w:val="004B1C51"/>
    <w:rsid w:val="004B2000"/>
    <w:rsid w:val="004B2282"/>
    <w:rsid w:val="004B2A55"/>
    <w:rsid w:val="004B2F80"/>
    <w:rsid w:val="004B3067"/>
    <w:rsid w:val="004B3CDD"/>
    <w:rsid w:val="004B3D1C"/>
    <w:rsid w:val="004B3D9E"/>
    <w:rsid w:val="004B3DBC"/>
    <w:rsid w:val="004B4178"/>
    <w:rsid w:val="004B443A"/>
    <w:rsid w:val="004B4A05"/>
    <w:rsid w:val="004B4BE1"/>
    <w:rsid w:val="004B5364"/>
    <w:rsid w:val="004B5E33"/>
    <w:rsid w:val="004B639E"/>
    <w:rsid w:val="004B6498"/>
    <w:rsid w:val="004B667D"/>
    <w:rsid w:val="004B6C36"/>
    <w:rsid w:val="004B79F5"/>
    <w:rsid w:val="004B7A56"/>
    <w:rsid w:val="004B7B8C"/>
    <w:rsid w:val="004C05DC"/>
    <w:rsid w:val="004C0B80"/>
    <w:rsid w:val="004C0D94"/>
    <w:rsid w:val="004C0EAA"/>
    <w:rsid w:val="004C0F4F"/>
    <w:rsid w:val="004C11CC"/>
    <w:rsid w:val="004C11F0"/>
    <w:rsid w:val="004C2DC4"/>
    <w:rsid w:val="004C310B"/>
    <w:rsid w:val="004C34B0"/>
    <w:rsid w:val="004C367F"/>
    <w:rsid w:val="004C3828"/>
    <w:rsid w:val="004C3849"/>
    <w:rsid w:val="004C390C"/>
    <w:rsid w:val="004C3B9D"/>
    <w:rsid w:val="004C3C18"/>
    <w:rsid w:val="004C4151"/>
    <w:rsid w:val="004C55A5"/>
    <w:rsid w:val="004C5C65"/>
    <w:rsid w:val="004C5E55"/>
    <w:rsid w:val="004C6847"/>
    <w:rsid w:val="004C7214"/>
    <w:rsid w:val="004C7A03"/>
    <w:rsid w:val="004C7BBC"/>
    <w:rsid w:val="004C7C7C"/>
    <w:rsid w:val="004D064E"/>
    <w:rsid w:val="004D0A85"/>
    <w:rsid w:val="004D0DA1"/>
    <w:rsid w:val="004D0FF2"/>
    <w:rsid w:val="004D10A7"/>
    <w:rsid w:val="004D195A"/>
    <w:rsid w:val="004D1AD8"/>
    <w:rsid w:val="004D1CB4"/>
    <w:rsid w:val="004D1FC2"/>
    <w:rsid w:val="004D22EA"/>
    <w:rsid w:val="004D263E"/>
    <w:rsid w:val="004D2A5A"/>
    <w:rsid w:val="004D2EFD"/>
    <w:rsid w:val="004D2FAE"/>
    <w:rsid w:val="004D30D8"/>
    <w:rsid w:val="004D310D"/>
    <w:rsid w:val="004D3332"/>
    <w:rsid w:val="004D3B62"/>
    <w:rsid w:val="004D4022"/>
    <w:rsid w:val="004D448F"/>
    <w:rsid w:val="004D4AB2"/>
    <w:rsid w:val="004D4CD4"/>
    <w:rsid w:val="004D5058"/>
    <w:rsid w:val="004D50A9"/>
    <w:rsid w:val="004D524D"/>
    <w:rsid w:val="004D525F"/>
    <w:rsid w:val="004D588D"/>
    <w:rsid w:val="004D5910"/>
    <w:rsid w:val="004D5E15"/>
    <w:rsid w:val="004D5F60"/>
    <w:rsid w:val="004D5FCE"/>
    <w:rsid w:val="004D606A"/>
    <w:rsid w:val="004D60F2"/>
    <w:rsid w:val="004D6605"/>
    <w:rsid w:val="004D6DEA"/>
    <w:rsid w:val="004D7905"/>
    <w:rsid w:val="004D7F30"/>
    <w:rsid w:val="004E0338"/>
    <w:rsid w:val="004E033F"/>
    <w:rsid w:val="004E040D"/>
    <w:rsid w:val="004E0415"/>
    <w:rsid w:val="004E0524"/>
    <w:rsid w:val="004E068F"/>
    <w:rsid w:val="004E0823"/>
    <w:rsid w:val="004E0BF2"/>
    <w:rsid w:val="004E0FB4"/>
    <w:rsid w:val="004E1493"/>
    <w:rsid w:val="004E1B8D"/>
    <w:rsid w:val="004E1CAC"/>
    <w:rsid w:val="004E1E35"/>
    <w:rsid w:val="004E1E4D"/>
    <w:rsid w:val="004E1F42"/>
    <w:rsid w:val="004E25CF"/>
    <w:rsid w:val="004E2810"/>
    <w:rsid w:val="004E288C"/>
    <w:rsid w:val="004E2A4C"/>
    <w:rsid w:val="004E2D76"/>
    <w:rsid w:val="004E2F60"/>
    <w:rsid w:val="004E3170"/>
    <w:rsid w:val="004E35A3"/>
    <w:rsid w:val="004E36D4"/>
    <w:rsid w:val="004E38CF"/>
    <w:rsid w:val="004E3E33"/>
    <w:rsid w:val="004E3F16"/>
    <w:rsid w:val="004E43C1"/>
    <w:rsid w:val="004E48AC"/>
    <w:rsid w:val="004E54A7"/>
    <w:rsid w:val="004E5617"/>
    <w:rsid w:val="004E564A"/>
    <w:rsid w:val="004E5E0F"/>
    <w:rsid w:val="004E5ECB"/>
    <w:rsid w:val="004E681E"/>
    <w:rsid w:val="004E6885"/>
    <w:rsid w:val="004E6E0A"/>
    <w:rsid w:val="004E6E65"/>
    <w:rsid w:val="004E6F22"/>
    <w:rsid w:val="004E6F95"/>
    <w:rsid w:val="004E7244"/>
    <w:rsid w:val="004E74B4"/>
    <w:rsid w:val="004F00A5"/>
    <w:rsid w:val="004F0101"/>
    <w:rsid w:val="004F0896"/>
    <w:rsid w:val="004F0E7C"/>
    <w:rsid w:val="004F0F30"/>
    <w:rsid w:val="004F14A8"/>
    <w:rsid w:val="004F15F4"/>
    <w:rsid w:val="004F1947"/>
    <w:rsid w:val="004F1A42"/>
    <w:rsid w:val="004F1FAE"/>
    <w:rsid w:val="004F2143"/>
    <w:rsid w:val="004F21B9"/>
    <w:rsid w:val="004F270E"/>
    <w:rsid w:val="004F2722"/>
    <w:rsid w:val="004F2ED1"/>
    <w:rsid w:val="004F2FB0"/>
    <w:rsid w:val="004F3071"/>
    <w:rsid w:val="004F34DA"/>
    <w:rsid w:val="004F373E"/>
    <w:rsid w:val="004F40F9"/>
    <w:rsid w:val="004F418A"/>
    <w:rsid w:val="004F429B"/>
    <w:rsid w:val="004F44CF"/>
    <w:rsid w:val="004F45AD"/>
    <w:rsid w:val="004F465C"/>
    <w:rsid w:val="004F50F5"/>
    <w:rsid w:val="004F5108"/>
    <w:rsid w:val="004F54E8"/>
    <w:rsid w:val="004F5C73"/>
    <w:rsid w:val="004F62B3"/>
    <w:rsid w:val="004F695D"/>
    <w:rsid w:val="004F69EA"/>
    <w:rsid w:val="004F6AD8"/>
    <w:rsid w:val="004F75DC"/>
    <w:rsid w:val="004F77A6"/>
    <w:rsid w:val="004F79BA"/>
    <w:rsid w:val="004F7CE9"/>
    <w:rsid w:val="004F7DC0"/>
    <w:rsid w:val="004F7F87"/>
    <w:rsid w:val="005007D8"/>
    <w:rsid w:val="00501B7D"/>
    <w:rsid w:val="00502462"/>
    <w:rsid w:val="00502471"/>
    <w:rsid w:val="00502BF6"/>
    <w:rsid w:val="005031A2"/>
    <w:rsid w:val="00503438"/>
    <w:rsid w:val="005038F0"/>
    <w:rsid w:val="00503C8D"/>
    <w:rsid w:val="00503CAF"/>
    <w:rsid w:val="00504166"/>
    <w:rsid w:val="0050442D"/>
    <w:rsid w:val="00504DC6"/>
    <w:rsid w:val="00504F6B"/>
    <w:rsid w:val="005055D3"/>
    <w:rsid w:val="00505F84"/>
    <w:rsid w:val="00505FD5"/>
    <w:rsid w:val="005060C9"/>
    <w:rsid w:val="005062B5"/>
    <w:rsid w:val="00506D3A"/>
    <w:rsid w:val="005070BD"/>
    <w:rsid w:val="00507359"/>
    <w:rsid w:val="00507A77"/>
    <w:rsid w:val="00507DD3"/>
    <w:rsid w:val="00510089"/>
    <w:rsid w:val="0051020A"/>
    <w:rsid w:val="005105D1"/>
    <w:rsid w:val="00510F1C"/>
    <w:rsid w:val="005110BA"/>
    <w:rsid w:val="0051117B"/>
    <w:rsid w:val="00511534"/>
    <w:rsid w:val="005118B7"/>
    <w:rsid w:val="00511BAF"/>
    <w:rsid w:val="00512146"/>
    <w:rsid w:val="0051322F"/>
    <w:rsid w:val="00513264"/>
    <w:rsid w:val="0051332C"/>
    <w:rsid w:val="00513B62"/>
    <w:rsid w:val="005141EC"/>
    <w:rsid w:val="005144FE"/>
    <w:rsid w:val="005147CB"/>
    <w:rsid w:val="00514801"/>
    <w:rsid w:val="00514866"/>
    <w:rsid w:val="00514D1E"/>
    <w:rsid w:val="00514E93"/>
    <w:rsid w:val="00514F0C"/>
    <w:rsid w:val="00515967"/>
    <w:rsid w:val="00515BCF"/>
    <w:rsid w:val="0051671A"/>
    <w:rsid w:val="00516844"/>
    <w:rsid w:val="00516963"/>
    <w:rsid w:val="005173A1"/>
    <w:rsid w:val="00517451"/>
    <w:rsid w:val="005174F6"/>
    <w:rsid w:val="00517691"/>
    <w:rsid w:val="005200A0"/>
    <w:rsid w:val="005202C3"/>
    <w:rsid w:val="005206F0"/>
    <w:rsid w:val="005207B8"/>
    <w:rsid w:val="00520A0A"/>
    <w:rsid w:val="00521073"/>
    <w:rsid w:val="00521561"/>
    <w:rsid w:val="005218BA"/>
    <w:rsid w:val="00521910"/>
    <w:rsid w:val="0052235B"/>
    <w:rsid w:val="00522436"/>
    <w:rsid w:val="00522CCB"/>
    <w:rsid w:val="00524A66"/>
    <w:rsid w:val="00524F79"/>
    <w:rsid w:val="00525354"/>
    <w:rsid w:val="00525677"/>
    <w:rsid w:val="00525DD8"/>
    <w:rsid w:val="00525E8B"/>
    <w:rsid w:val="00525F83"/>
    <w:rsid w:val="005261CB"/>
    <w:rsid w:val="00526223"/>
    <w:rsid w:val="00526302"/>
    <w:rsid w:val="0052630E"/>
    <w:rsid w:val="0052635E"/>
    <w:rsid w:val="0052675B"/>
    <w:rsid w:val="005268E8"/>
    <w:rsid w:val="00527050"/>
    <w:rsid w:val="00527141"/>
    <w:rsid w:val="0052738D"/>
    <w:rsid w:val="00527552"/>
    <w:rsid w:val="00527EC4"/>
    <w:rsid w:val="00531398"/>
    <w:rsid w:val="005316C9"/>
    <w:rsid w:val="00531749"/>
    <w:rsid w:val="00531894"/>
    <w:rsid w:val="00531933"/>
    <w:rsid w:val="005319C0"/>
    <w:rsid w:val="00531AE3"/>
    <w:rsid w:val="00531BCB"/>
    <w:rsid w:val="00532A1F"/>
    <w:rsid w:val="005330A9"/>
    <w:rsid w:val="005331BD"/>
    <w:rsid w:val="005332B8"/>
    <w:rsid w:val="00533556"/>
    <w:rsid w:val="00533930"/>
    <w:rsid w:val="00533944"/>
    <w:rsid w:val="00533AA7"/>
    <w:rsid w:val="00533D34"/>
    <w:rsid w:val="00534046"/>
    <w:rsid w:val="005341F3"/>
    <w:rsid w:val="00534953"/>
    <w:rsid w:val="00534BBE"/>
    <w:rsid w:val="00535055"/>
    <w:rsid w:val="00535775"/>
    <w:rsid w:val="0053584C"/>
    <w:rsid w:val="005358A9"/>
    <w:rsid w:val="00536055"/>
    <w:rsid w:val="005360A1"/>
    <w:rsid w:val="00536264"/>
    <w:rsid w:val="0053642D"/>
    <w:rsid w:val="005365FB"/>
    <w:rsid w:val="005369AF"/>
    <w:rsid w:val="00537557"/>
    <w:rsid w:val="00537BBE"/>
    <w:rsid w:val="00537C8F"/>
    <w:rsid w:val="00537ED9"/>
    <w:rsid w:val="0054005E"/>
    <w:rsid w:val="0054006D"/>
    <w:rsid w:val="00540D8E"/>
    <w:rsid w:val="00541722"/>
    <w:rsid w:val="00541D8F"/>
    <w:rsid w:val="0054260E"/>
    <w:rsid w:val="00542615"/>
    <w:rsid w:val="00542709"/>
    <w:rsid w:val="00542C49"/>
    <w:rsid w:val="00542E41"/>
    <w:rsid w:val="00542F42"/>
    <w:rsid w:val="005438A3"/>
    <w:rsid w:val="00543D3A"/>
    <w:rsid w:val="00543F10"/>
    <w:rsid w:val="005441CA"/>
    <w:rsid w:val="00544C12"/>
    <w:rsid w:val="00544C8D"/>
    <w:rsid w:val="00544F55"/>
    <w:rsid w:val="0054506C"/>
    <w:rsid w:val="005452D8"/>
    <w:rsid w:val="005453CA"/>
    <w:rsid w:val="0054545B"/>
    <w:rsid w:val="00545A77"/>
    <w:rsid w:val="00545C4E"/>
    <w:rsid w:val="0054669F"/>
    <w:rsid w:val="00546838"/>
    <w:rsid w:val="005468EB"/>
    <w:rsid w:val="00546B01"/>
    <w:rsid w:val="00546DB0"/>
    <w:rsid w:val="0054702B"/>
    <w:rsid w:val="005475F2"/>
    <w:rsid w:val="005476D0"/>
    <w:rsid w:val="005477E3"/>
    <w:rsid w:val="005478F9"/>
    <w:rsid w:val="00547C1C"/>
    <w:rsid w:val="00547C79"/>
    <w:rsid w:val="00550055"/>
    <w:rsid w:val="00550537"/>
    <w:rsid w:val="00551042"/>
    <w:rsid w:val="0055118D"/>
    <w:rsid w:val="00551440"/>
    <w:rsid w:val="00551531"/>
    <w:rsid w:val="00551695"/>
    <w:rsid w:val="005516B3"/>
    <w:rsid w:val="0055284A"/>
    <w:rsid w:val="005530C0"/>
    <w:rsid w:val="00553271"/>
    <w:rsid w:val="005534C1"/>
    <w:rsid w:val="005537BE"/>
    <w:rsid w:val="0055395A"/>
    <w:rsid w:val="00553D01"/>
    <w:rsid w:val="005540B5"/>
    <w:rsid w:val="00554349"/>
    <w:rsid w:val="00554409"/>
    <w:rsid w:val="00554567"/>
    <w:rsid w:val="00554606"/>
    <w:rsid w:val="00554750"/>
    <w:rsid w:val="00554869"/>
    <w:rsid w:val="005552FC"/>
    <w:rsid w:val="00555564"/>
    <w:rsid w:val="005556BD"/>
    <w:rsid w:val="005558CE"/>
    <w:rsid w:val="00555AE5"/>
    <w:rsid w:val="00555B19"/>
    <w:rsid w:val="00555B9D"/>
    <w:rsid w:val="005565BE"/>
    <w:rsid w:val="0055664B"/>
    <w:rsid w:val="00556894"/>
    <w:rsid w:val="0055701E"/>
    <w:rsid w:val="0055748A"/>
    <w:rsid w:val="00557527"/>
    <w:rsid w:val="0055770C"/>
    <w:rsid w:val="0055783E"/>
    <w:rsid w:val="00560130"/>
    <w:rsid w:val="005602FE"/>
    <w:rsid w:val="005604F1"/>
    <w:rsid w:val="00560623"/>
    <w:rsid w:val="005609D2"/>
    <w:rsid w:val="00560AA4"/>
    <w:rsid w:val="00560E27"/>
    <w:rsid w:val="00560F64"/>
    <w:rsid w:val="005612A2"/>
    <w:rsid w:val="005615BE"/>
    <w:rsid w:val="00561CEC"/>
    <w:rsid w:val="00561DD6"/>
    <w:rsid w:val="00561EFC"/>
    <w:rsid w:val="00562013"/>
    <w:rsid w:val="0056269D"/>
    <w:rsid w:val="0056270B"/>
    <w:rsid w:val="005630E6"/>
    <w:rsid w:val="005639CB"/>
    <w:rsid w:val="00563E26"/>
    <w:rsid w:val="00563E5B"/>
    <w:rsid w:val="0056401C"/>
    <w:rsid w:val="0056454C"/>
    <w:rsid w:val="00564583"/>
    <w:rsid w:val="00564DDD"/>
    <w:rsid w:val="005654A9"/>
    <w:rsid w:val="00565798"/>
    <w:rsid w:val="005659B6"/>
    <w:rsid w:val="00566521"/>
    <w:rsid w:val="00566597"/>
    <w:rsid w:val="00566B3E"/>
    <w:rsid w:val="00566C5E"/>
    <w:rsid w:val="00566F36"/>
    <w:rsid w:val="0056705F"/>
    <w:rsid w:val="005677C6"/>
    <w:rsid w:val="005677FD"/>
    <w:rsid w:val="005678F1"/>
    <w:rsid w:val="00567DBE"/>
    <w:rsid w:val="00567EAE"/>
    <w:rsid w:val="0057002B"/>
    <w:rsid w:val="005701FE"/>
    <w:rsid w:val="00570444"/>
    <w:rsid w:val="00570485"/>
    <w:rsid w:val="00570C87"/>
    <w:rsid w:val="005710A4"/>
    <w:rsid w:val="00571261"/>
    <w:rsid w:val="005717BA"/>
    <w:rsid w:val="005718A7"/>
    <w:rsid w:val="00571E45"/>
    <w:rsid w:val="005720D1"/>
    <w:rsid w:val="00572D3B"/>
    <w:rsid w:val="00572E41"/>
    <w:rsid w:val="00572F69"/>
    <w:rsid w:val="00573124"/>
    <w:rsid w:val="005736A1"/>
    <w:rsid w:val="0057380E"/>
    <w:rsid w:val="00573814"/>
    <w:rsid w:val="00573B08"/>
    <w:rsid w:val="00573ECA"/>
    <w:rsid w:val="00573FDB"/>
    <w:rsid w:val="0057439F"/>
    <w:rsid w:val="0057478B"/>
    <w:rsid w:val="00574956"/>
    <w:rsid w:val="00574D75"/>
    <w:rsid w:val="0057501C"/>
    <w:rsid w:val="005750A8"/>
    <w:rsid w:val="005751EE"/>
    <w:rsid w:val="005757AE"/>
    <w:rsid w:val="005757B8"/>
    <w:rsid w:val="00575B73"/>
    <w:rsid w:val="00575C61"/>
    <w:rsid w:val="00575EDE"/>
    <w:rsid w:val="00575EFA"/>
    <w:rsid w:val="00575FE7"/>
    <w:rsid w:val="005762B6"/>
    <w:rsid w:val="00576326"/>
    <w:rsid w:val="00576963"/>
    <w:rsid w:val="00577622"/>
    <w:rsid w:val="00577BF3"/>
    <w:rsid w:val="00580271"/>
    <w:rsid w:val="0058046F"/>
    <w:rsid w:val="005807EE"/>
    <w:rsid w:val="005808E5"/>
    <w:rsid w:val="00580951"/>
    <w:rsid w:val="00580999"/>
    <w:rsid w:val="00580AF1"/>
    <w:rsid w:val="005812A7"/>
    <w:rsid w:val="00581787"/>
    <w:rsid w:val="00581907"/>
    <w:rsid w:val="00581B12"/>
    <w:rsid w:val="00582351"/>
    <w:rsid w:val="00582741"/>
    <w:rsid w:val="00583645"/>
    <w:rsid w:val="00583CEB"/>
    <w:rsid w:val="00583E8C"/>
    <w:rsid w:val="00584A17"/>
    <w:rsid w:val="00585002"/>
    <w:rsid w:val="00585656"/>
    <w:rsid w:val="005858A6"/>
    <w:rsid w:val="00585B21"/>
    <w:rsid w:val="00585FC4"/>
    <w:rsid w:val="0058641D"/>
    <w:rsid w:val="005864FC"/>
    <w:rsid w:val="005865A8"/>
    <w:rsid w:val="00586731"/>
    <w:rsid w:val="0058690B"/>
    <w:rsid w:val="00586AD7"/>
    <w:rsid w:val="00586FC7"/>
    <w:rsid w:val="005870C7"/>
    <w:rsid w:val="00587CFD"/>
    <w:rsid w:val="00590241"/>
    <w:rsid w:val="005906DF"/>
    <w:rsid w:val="00590E16"/>
    <w:rsid w:val="00590EF2"/>
    <w:rsid w:val="00591015"/>
    <w:rsid w:val="005914D6"/>
    <w:rsid w:val="005915E2"/>
    <w:rsid w:val="00591651"/>
    <w:rsid w:val="00591DA7"/>
    <w:rsid w:val="0059253A"/>
    <w:rsid w:val="0059255C"/>
    <w:rsid w:val="00592C73"/>
    <w:rsid w:val="00592D2B"/>
    <w:rsid w:val="00592D3F"/>
    <w:rsid w:val="005938C9"/>
    <w:rsid w:val="00594173"/>
    <w:rsid w:val="0059435E"/>
    <w:rsid w:val="00594395"/>
    <w:rsid w:val="00594722"/>
    <w:rsid w:val="00594C68"/>
    <w:rsid w:val="00594ED4"/>
    <w:rsid w:val="005953A2"/>
    <w:rsid w:val="00595ABA"/>
    <w:rsid w:val="0059602F"/>
    <w:rsid w:val="0059671D"/>
    <w:rsid w:val="0059673C"/>
    <w:rsid w:val="00597069"/>
    <w:rsid w:val="00597C2F"/>
    <w:rsid w:val="005A02BC"/>
    <w:rsid w:val="005A03EB"/>
    <w:rsid w:val="005A0682"/>
    <w:rsid w:val="005A0695"/>
    <w:rsid w:val="005A08AC"/>
    <w:rsid w:val="005A093C"/>
    <w:rsid w:val="005A0CFA"/>
    <w:rsid w:val="005A105F"/>
    <w:rsid w:val="005A1B5D"/>
    <w:rsid w:val="005A1CEE"/>
    <w:rsid w:val="005A1F6F"/>
    <w:rsid w:val="005A1FD2"/>
    <w:rsid w:val="005A2317"/>
    <w:rsid w:val="005A2649"/>
    <w:rsid w:val="005A28F3"/>
    <w:rsid w:val="005A3023"/>
    <w:rsid w:val="005A33CF"/>
    <w:rsid w:val="005A3750"/>
    <w:rsid w:val="005A3C7E"/>
    <w:rsid w:val="005A41EA"/>
    <w:rsid w:val="005A4951"/>
    <w:rsid w:val="005A49DF"/>
    <w:rsid w:val="005A50EF"/>
    <w:rsid w:val="005A54C5"/>
    <w:rsid w:val="005A5FD1"/>
    <w:rsid w:val="005A5FF6"/>
    <w:rsid w:val="005A6056"/>
    <w:rsid w:val="005A6098"/>
    <w:rsid w:val="005A6322"/>
    <w:rsid w:val="005A6725"/>
    <w:rsid w:val="005A6741"/>
    <w:rsid w:val="005A679C"/>
    <w:rsid w:val="005A6848"/>
    <w:rsid w:val="005A7924"/>
    <w:rsid w:val="005B0030"/>
    <w:rsid w:val="005B043E"/>
    <w:rsid w:val="005B0A6D"/>
    <w:rsid w:val="005B113B"/>
    <w:rsid w:val="005B144B"/>
    <w:rsid w:val="005B1546"/>
    <w:rsid w:val="005B1A8F"/>
    <w:rsid w:val="005B2806"/>
    <w:rsid w:val="005B2942"/>
    <w:rsid w:val="005B2C62"/>
    <w:rsid w:val="005B2DE1"/>
    <w:rsid w:val="005B2E28"/>
    <w:rsid w:val="005B3440"/>
    <w:rsid w:val="005B3B42"/>
    <w:rsid w:val="005B433C"/>
    <w:rsid w:val="005B4A3C"/>
    <w:rsid w:val="005B4FFA"/>
    <w:rsid w:val="005B53C8"/>
    <w:rsid w:val="005B57C1"/>
    <w:rsid w:val="005B5EE6"/>
    <w:rsid w:val="005B5F62"/>
    <w:rsid w:val="005B5F66"/>
    <w:rsid w:val="005B5F7A"/>
    <w:rsid w:val="005B624F"/>
    <w:rsid w:val="005B6978"/>
    <w:rsid w:val="005B6D91"/>
    <w:rsid w:val="005B6DAF"/>
    <w:rsid w:val="005B6EFA"/>
    <w:rsid w:val="005B7109"/>
    <w:rsid w:val="005B76D7"/>
    <w:rsid w:val="005B7F0E"/>
    <w:rsid w:val="005B7F70"/>
    <w:rsid w:val="005C00CB"/>
    <w:rsid w:val="005C0296"/>
    <w:rsid w:val="005C050A"/>
    <w:rsid w:val="005C056B"/>
    <w:rsid w:val="005C0A9D"/>
    <w:rsid w:val="005C1255"/>
    <w:rsid w:val="005C1348"/>
    <w:rsid w:val="005C15D4"/>
    <w:rsid w:val="005C1A83"/>
    <w:rsid w:val="005C22A2"/>
    <w:rsid w:val="005C24D6"/>
    <w:rsid w:val="005C273C"/>
    <w:rsid w:val="005C2F44"/>
    <w:rsid w:val="005C2FE2"/>
    <w:rsid w:val="005C355A"/>
    <w:rsid w:val="005C366D"/>
    <w:rsid w:val="005C4154"/>
    <w:rsid w:val="005C4304"/>
    <w:rsid w:val="005C4E63"/>
    <w:rsid w:val="005C4F66"/>
    <w:rsid w:val="005C51A2"/>
    <w:rsid w:val="005C5539"/>
    <w:rsid w:val="005C5FF1"/>
    <w:rsid w:val="005C6201"/>
    <w:rsid w:val="005C63DE"/>
    <w:rsid w:val="005C6B2F"/>
    <w:rsid w:val="005C7564"/>
    <w:rsid w:val="005C769D"/>
    <w:rsid w:val="005C788E"/>
    <w:rsid w:val="005C794D"/>
    <w:rsid w:val="005C7B56"/>
    <w:rsid w:val="005C7E1D"/>
    <w:rsid w:val="005D0051"/>
    <w:rsid w:val="005D0416"/>
    <w:rsid w:val="005D04A6"/>
    <w:rsid w:val="005D14BB"/>
    <w:rsid w:val="005D1876"/>
    <w:rsid w:val="005D18FE"/>
    <w:rsid w:val="005D204C"/>
    <w:rsid w:val="005D24F2"/>
    <w:rsid w:val="005D2714"/>
    <w:rsid w:val="005D2941"/>
    <w:rsid w:val="005D2D22"/>
    <w:rsid w:val="005D2E3D"/>
    <w:rsid w:val="005D309E"/>
    <w:rsid w:val="005D378D"/>
    <w:rsid w:val="005D39BC"/>
    <w:rsid w:val="005D3E20"/>
    <w:rsid w:val="005D3F69"/>
    <w:rsid w:val="005D40BA"/>
    <w:rsid w:val="005D431A"/>
    <w:rsid w:val="005D472D"/>
    <w:rsid w:val="005D47EE"/>
    <w:rsid w:val="005D4984"/>
    <w:rsid w:val="005D4CFC"/>
    <w:rsid w:val="005D51D2"/>
    <w:rsid w:val="005D5424"/>
    <w:rsid w:val="005D56E3"/>
    <w:rsid w:val="005D5813"/>
    <w:rsid w:val="005D5DC8"/>
    <w:rsid w:val="005D60C6"/>
    <w:rsid w:val="005D634C"/>
    <w:rsid w:val="005D6C5C"/>
    <w:rsid w:val="005D6C86"/>
    <w:rsid w:val="005D7270"/>
    <w:rsid w:val="005D738D"/>
    <w:rsid w:val="005D7BE5"/>
    <w:rsid w:val="005D7D67"/>
    <w:rsid w:val="005E050F"/>
    <w:rsid w:val="005E06EB"/>
    <w:rsid w:val="005E1421"/>
    <w:rsid w:val="005E18AD"/>
    <w:rsid w:val="005E1B6E"/>
    <w:rsid w:val="005E209F"/>
    <w:rsid w:val="005E2A0F"/>
    <w:rsid w:val="005E2F25"/>
    <w:rsid w:val="005E3170"/>
    <w:rsid w:val="005E3355"/>
    <w:rsid w:val="005E33B2"/>
    <w:rsid w:val="005E36A0"/>
    <w:rsid w:val="005E48BC"/>
    <w:rsid w:val="005E492E"/>
    <w:rsid w:val="005E5075"/>
    <w:rsid w:val="005E5539"/>
    <w:rsid w:val="005E592B"/>
    <w:rsid w:val="005E596D"/>
    <w:rsid w:val="005E5BAB"/>
    <w:rsid w:val="005E5DA6"/>
    <w:rsid w:val="005E604E"/>
    <w:rsid w:val="005E7053"/>
    <w:rsid w:val="005F0499"/>
    <w:rsid w:val="005F0575"/>
    <w:rsid w:val="005F0A91"/>
    <w:rsid w:val="005F11EB"/>
    <w:rsid w:val="005F1571"/>
    <w:rsid w:val="005F1626"/>
    <w:rsid w:val="005F1939"/>
    <w:rsid w:val="005F1A6F"/>
    <w:rsid w:val="005F1C08"/>
    <w:rsid w:val="005F1E9B"/>
    <w:rsid w:val="005F29AA"/>
    <w:rsid w:val="005F2B44"/>
    <w:rsid w:val="005F2BF1"/>
    <w:rsid w:val="005F2D21"/>
    <w:rsid w:val="005F319B"/>
    <w:rsid w:val="005F3645"/>
    <w:rsid w:val="005F38B3"/>
    <w:rsid w:val="005F422F"/>
    <w:rsid w:val="005F440E"/>
    <w:rsid w:val="005F46FF"/>
    <w:rsid w:val="005F4890"/>
    <w:rsid w:val="005F4C7F"/>
    <w:rsid w:val="005F4EE7"/>
    <w:rsid w:val="005F53CF"/>
    <w:rsid w:val="005F57FA"/>
    <w:rsid w:val="005F5960"/>
    <w:rsid w:val="005F5E5B"/>
    <w:rsid w:val="005F601C"/>
    <w:rsid w:val="005F65D5"/>
    <w:rsid w:val="005F65DD"/>
    <w:rsid w:val="005F68AD"/>
    <w:rsid w:val="005F6A2D"/>
    <w:rsid w:val="005F7257"/>
    <w:rsid w:val="005F72B9"/>
    <w:rsid w:val="005F734C"/>
    <w:rsid w:val="005F795D"/>
    <w:rsid w:val="005F7A26"/>
    <w:rsid w:val="00600060"/>
    <w:rsid w:val="006000BB"/>
    <w:rsid w:val="006009E3"/>
    <w:rsid w:val="00600F7E"/>
    <w:rsid w:val="00600F95"/>
    <w:rsid w:val="00601315"/>
    <w:rsid w:val="00601602"/>
    <w:rsid w:val="0060173F"/>
    <w:rsid w:val="00601D57"/>
    <w:rsid w:val="00601D8E"/>
    <w:rsid w:val="00601DB5"/>
    <w:rsid w:val="00603016"/>
    <w:rsid w:val="00603344"/>
    <w:rsid w:val="006033EF"/>
    <w:rsid w:val="0060367E"/>
    <w:rsid w:val="006045D6"/>
    <w:rsid w:val="00604FA6"/>
    <w:rsid w:val="006055A4"/>
    <w:rsid w:val="006059FA"/>
    <w:rsid w:val="00605A23"/>
    <w:rsid w:val="00605D0B"/>
    <w:rsid w:val="00606241"/>
    <w:rsid w:val="006062F2"/>
    <w:rsid w:val="00606787"/>
    <w:rsid w:val="00606844"/>
    <w:rsid w:val="00606B59"/>
    <w:rsid w:val="00606E57"/>
    <w:rsid w:val="00607643"/>
    <w:rsid w:val="00607A81"/>
    <w:rsid w:val="00610123"/>
    <w:rsid w:val="006102FE"/>
    <w:rsid w:val="00610640"/>
    <w:rsid w:val="00610912"/>
    <w:rsid w:val="00610DD5"/>
    <w:rsid w:val="006122A3"/>
    <w:rsid w:val="00612367"/>
    <w:rsid w:val="006123DC"/>
    <w:rsid w:val="006123E5"/>
    <w:rsid w:val="00612508"/>
    <w:rsid w:val="00612943"/>
    <w:rsid w:val="00612C5F"/>
    <w:rsid w:val="00612D8F"/>
    <w:rsid w:val="00612FEB"/>
    <w:rsid w:val="0061346A"/>
    <w:rsid w:val="0061388A"/>
    <w:rsid w:val="00613D98"/>
    <w:rsid w:val="00613FE8"/>
    <w:rsid w:val="00614215"/>
    <w:rsid w:val="0061421B"/>
    <w:rsid w:val="00614522"/>
    <w:rsid w:val="00615479"/>
    <w:rsid w:val="00615EC5"/>
    <w:rsid w:val="00615F9C"/>
    <w:rsid w:val="00615FDE"/>
    <w:rsid w:val="006164FB"/>
    <w:rsid w:val="006170EF"/>
    <w:rsid w:val="0061773C"/>
    <w:rsid w:val="00617C21"/>
    <w:rsid w:val="00620B7D"/>
    <w:rsid w:val="00620E59"/>
    <w:rsid w:val="00620EC4"/>
    <w:rsid w:val="0062102F"/>
    <w:rsid w:val="006214A5"/>
    <w:rsid w:val="00621C07"/>
    <w:rsid w:val="00621F39"/>
    <w:rsid w:val="0062206D"/>
    <w:rsid w:val="00622332"/>
    <w:rsid w:val="00622528"/>
    <w:rsid w:val="0062267F"/>
    <w:rsid w:val="006228B5"/>
    <w:rsid w:val="00622A51"/>
    <w:rsid w:val="00622D17"/>
    <w:rsid w:val="00622F04"/>
    <w:rsid w:val="00623100"/>
    <w:rsid w:val="00623B5C"/>
    <w:rsid w:val="00623C11"/>
    <w:rsid w:val="006240C9"/>
    <w:rsid w:val="00624AC8"/>
    <w:rsid w:val="00624C4A"/>
    <w:rsid w:val="00624CD9"/>
    <w:rsid w:val="00624EA8"/>
    <w:rsid w:val="00625129"/>
    <w:rsid w:val="0062523D"/>
    <w:rsid w:val="00625EFA"/>
    <w:rsid w:val="006267A5"/>
    <w:rsid w:val="00626E7D"/>
    <w:rsid w:val="006273FD"/>
    <w:rsid w:val="006278FD"/>
    <w:rsid w:val="006300A9"/>
    <w:rsid w:val="00630677"/>
    <w:rsid w:val="0063082A"/>
    <w:rsid w:val="00630A83"/>
    <w:rsid w:val="00631533"/>
    <w:rsid w:val="006316AE"/>
    <w:rsid w:val="00631F82"/>
    <w:rsid w:val="006321CE"/>
    <w:rsid w:val="00632254"/>
    <w:rsid w:val="006333D8"/>
    <w:rsid w:val="006336DE"/>
    <w:rsid w:val="006337D0"/>
    <w:rsid w:val="00633856"/>
    <w:rsid w:val="00633A41"/>
    <w:rsid w:val="00633C2B"/>
    <w:rsid w:val="00633F8B"/>
    <w:rsid w:val="00633FB1"/>
    <w:rsid w:val="00634622"/>
    <w:rsid w:val="00634687"/>
    <w:rsid w:val="00635180"/>
    <w:rsid w:val="0063572A"/>
    <w:rsid w:val="00636A19"/>
    <w:rsid w:val="00636F93"/>
    <w:rsid w:val="006373C6"/>
    <w:rsid w:val="00637B1B"/>
    <w:rsid w:val="00637C6C"/>
    <w:rsid w:val="006404FF"/>
    <w:rsid w:val="00640517"/>
    <w:rsid w:val="00641281"/>
    <w:rsid w:val="0064190F"/>
    <w:rsid w:val="00641A77"/>
    <w:rsid w:val="00641A7E"/>
    <w:rsid w:val="00641C4D"/>
    <w:rsid w:val="00641E51"/>
    <w:rsid w:val="00642422"/>
    <w:rsid w:val="0064284D"/>
    <w:rsid w:val="006429A2"/>
    <w:rsid w:val="00642A06"/>
    <w:rsid w:val="00642A70"/>
    <w:rsid w:val="00642CA2"/>
    <w:rsid w:val="0064303A"/>
    <w:rsid w:val="0064314D"/>
    <w:rsid w:val="00643665"/>
    <w:rsid w:val="00643ACF"/>
    <w:rsid w:val="0064454D"/>
    <w:rsid w:val="00644E53"/>
    <w:rsid w:val="0064527F"/>
    <w:rsid w:val="006454A6"/>
    <w:rsid w:val="0064586C"/>
    <w:rsid w:val="006458E2"/>
    <w:rsid w:val="00645AA4"/>
    <w:rsid w:val="00645B31"/>
    <w:rsid w:val="006460B2"/>
    <w:rsid w:val="006461C6"/>
    <w:rsid w:val="00646CB4"/>
    <w:rsid w:val="006470B3"/>
    <w:rsid w:val="00647410"/>
    <w:rsid w:val="00647562"/>
    <w:rsid w:val="006476EB"/>
    <w:rsid w:val="00647CAA"/>
    <w:rsid w:val="00647D32"/>
    <w:rsid w:val="006505EA"/>
    <w:rsid w:val="00650765"/>
    <w:rsid w:val="0065090D"/>
    <w:rsid w:val="00651115"/>
    <w:rsid w:val="006511B5"/>
    <w:rsid w:val="00651417"/>
    <w:rsid w:val="0065154C"/>
    <w:rsid w:val="00651703"/>
    <w:rsid w:val="006517A4"/>
    <w:rsid w:val="00651DAB"/>
    <w:rsid w:val="00652244"/>
    <w:rsid w:val="00652257"/>
    <w:rsid w:val="0065248A"/>
    <w:rsid w:val="006527F9"/>
    <w:rsid w:val="006529D5"/>
    <w:rsid w:val="00652D24"/>
    <w:rsid w:val="00652D4E"/>
    <w:rsid w:val="00652F50"/>
    <w:rsid w:val="006537FC"/>
    <w:rsid w:val="00653CD1"/>
    <w:rsid w:val="00653E99"/>
    <w:rsid w:val="00654062"/>
    <w:rsid w:val="00654118"/>
    <w:rsid w:val="00654B1F"/>
    <w:rsid w:val="00654E62"/>
    <w:rsid w:val="006551C0"/>
    <w:rsid w:val="006555E6"/>
    <w:rsid w:val="00655D7C"/>
    <w:rsid w:val="00655F9D"/>
    <w:rsid w:val="00656A80"/>
    <w:rsid w:val="00656B40"/>
    <w:rsid w:val="0065743F"/>
    <w:rsid w:val="00657EE3"/>
    <w:rsid w:val="00657FA9"/>
    <w:rsid w:val="00660094"/>
    <w:rsid w:val="006600CE"/>
    <w:rsid w:val="00660A8A"/>
    <w:rsid w:val="00660DFF"/>
    <w:rsid w:val="006611A0"/>
    <w:rsid w:val="006611A4"/>
    <w:rsid w:val="00661230"/>
    <w:rsid w:val="0066133B"/>
    <w:rsid w:val="0066135F"/>
    <w:rsid w:val="00661524"/>
    <w:rsid w:val="00661D3E"/>
    <w:rsid w:val="00662D76"/>
    <w:rsid w:val="0066312C"/>
    <w:rsid w:val="006636BB"/>
    <w:rsid w:val="0066384B"/>
    <w:rsid w:val="00663871"/>
    <w:rsid w:val="00663A1C"/>
    <w:rsid w:val="00664186"/>
    <w:rsid w:val="0066424B"/>
    <w:rsid w:val="006645E7"/>
    <w:rsid w:val="00664970"/>
    <w:rsid w:val="00664A57"/>
    <w:rsid w:val="00664AB0"/>
    <w:rsid w:val="00664C88"/>
    <w:rsid w:val="00664D4A"/>
    <w:rsid w:val="00664D5A"/>
    <w:rsid w:val="00664DAB"/>
    <w:rsid w:val="00664DB1"/>
    <w:rsid w:val="0066536E"/>
    <w:rsid w:val="00665483"/>
    <w:rsid w:val="0066638F"/>
    <w:rsid w:val="0066641C"/>
    <w:rsid w:val="00666638"/>
    <w:rsid w:val="00666991"/>
    <w:rsid w:val="006669C2"/>
    <w:rsid w:val="00666CE8"/>
    <w:rsid w:val="00666EC8"/>
    <w:rsid w:val="00667640"/>
    <w:rsid w:val="00667A45"/>
    <w:rsid w:val="00667AA6"/>
    <w:rsid w:val="00667D40"/>
    <w:rsid w:val="00667F26"/>
    <w:rsid w:val="006701B4"/>
    <w:rsid w:val="0067024E"/>
    <w:rsid w:val="006708C5"/>
    <w:rsid w:val="006709BE"/>
    <w:rsid w:val="00670BEB"/>
    <w:rsid w:val="00671054"/>
    <w:rsid w:val="00671812"/>
    <w:rsid w:val="006719F5"/>
    <w:rsid w:val="00671BE9"/>
    <w:rsid w:val="006727D2"/>
    <w:rsid w:val="00672DBB"/>
    <w:rsid w:val="006731CF"/>
    <w:rsid w:val="006738B6"/>
    <w:rsid w:val="006739C6"/>
    <w:rsid w:val="00673CCA"/>
    <w:rsid w:val="00673F56"/>
    <w:rsid w:val="00674151"/>
    <w:rsid w:val="006744E7"/>
    <w:rsid w:val="0067477F"/>
    <w:rsid w:val="00674A3C"/>
    <w:rsid w:val="00674CD7"/>
    <w:rsid w:val="00674D1D"/>
    <w:rsid w:val="006750B1"/>
    <w:rsid w:val="00675AEC"/>
    <w:rsid w:val="00675E30"/>
    <w:rsid w:val="00676336"/>
    <w:rsid w:val="006769C8"/>
    <w:rsid w:val="00676E1A"/>
    <w:rsid w:val="00676E81"/>
    <w:rsid w:val="00676FBC"/>
    <w:rsid w:val="00677276"/>
    <w:rsid w:val="00677304"/>
    <w:rsid w:val="00677485"/>
    <w:rsid w:val="006775AF"/>
    <w:rsid w:val="00677777"/>
    <w:rsid w:val="00677C95"/>
    <w:rsid w:val="00677F8E"/>
    <w:rsid w:val="00680457"/>
    <w:rsid w:val="0068079D"/>
    <w:rsid w:val="00680EFC"/>
    <w:rsid w:val="00680F5E"/>
    <w:rsid w:val="00681131"/>
    <w:rsid w:val="00681396"/>
    <w:rsid w:val="00681750"/>
    <w:rsid w:val="00681B33"/>
    <w:rsid w:val="00681E8C"/>
    <w:rsid w:val="00682760"/>
    <w:rsid w:val="006828A6"/>
    <w:rsid w:val="00682E25"/>
    <w:rsid w:val="00682F16"/>
    <w:rsid w:val="00683009"/>
    <w:rsid w:val="006832F7"/>
    <w:rsid w:val="006832FD"/>
    <w:rsid w:val="00683BE1"/>
    <w:rsid w:val="00683D5B"/>
    <w:rsid w:val="0068413F"/>
    <w:rsid w:val="00684169"/>
    <w:rsid w:val="00684588"/>
    <w:rsid w:val="0068465A"/>
    <w:rsid w:val="006847C4"/>
    <w:rsid w:val="00684CD0"/>
    <w:rsid w:val="00684D0A"/>
    <w:rsid w:val="00684EF3"/>
    <w:rsid w:val="00685D6E"/>
    <w:rsid w:val="00685DFF"/>
    <w:rsid w:val="00685E8F"/>
    <w:rsid w:val="00686090"/>
    <w:rsid w:val="00686375"/>
    <w:rsid w:val="00686453"/>
    <w:rsid w:val="00686BBD"/>
    <w:rsid w:val="006875D8"/>
    <w:rsid w:val="0068762F"/>
    <w:rsid w:val="00687742"/>
    <w:rsid w:val="00687A82"/>
    <w:rsid w:val="0069003C"/>
    <w:rsid w:val="00690055"/>
    <w:rsid w:val="00690D8A"/>
    <w:rsid w:val="00690F06"/>
    <w:rsid w:val="006912DB"/>
    <w:rsid w:val="006917CF"/>
    <w:rsid w:val="006919D2"/>
    <w:rsid w:val="00691D2D"/>
    <w:rsid w:val="00691D67"/>
    <w:rsid w:val="0069208C"/>
    <w:rsid w:val="00692230"/>
    <w:rsid w:val="006932BF"/>
    <w:rsid w:val="00693633"/>
    <w:rsid w:val="00693B1E"/>
    <w:rsid w:val="00693CDC"/>
    <w:rsid w:val="006949D8"/>
    <w:rsid w:val="00694C2B"/>
    <w:rsid w:val="00694CCB"/>
    <w:rsid w:val="00694E1F"/>
    <w:rsid w:val="00694EBF"/>
    <w:rsid w:val="006952E9"/>
    <w:rsid w:val="00695654"/>
    <w:rsid w:val="00695D0E"/>
    <w:rsid w:val="00696435"/>
    <w:rsid w:val="00696468"/>
    <w:rsid w:val="0069676E"/>
    <w:rsid w:val="00696846"/>
    <w:rsid w:val="00697068"/>
    <w:rsid w:val="00697224"/>
    <w:rsid w:val="006973B1"/>
    <w:rsid w:val="0069746C"/>
    <w:rsid w:val="006974AF"/>
    <w:rsid w:val="00697C8A"/>
    <w:rsid w:val="006A00ED"/>
    <w:rsid w:val="006A200C"/>
    <w:rsid w:val="006A21F9"/>
    <w:rsid w:val="006A232C"/>
    <w:rsid w:val="006A2343"/>
    <w:rsid w:val="006A2A01"/>
    <w:rsid w:val="006A2FFA"/>
    <w:rsid w:val="006A328C"/>
    <w:rsid w:val="006A38D3"/>
    <w:rsid w:val="006A3AD1"/>
    <w:rsid w:val="006A3DC5"/>
    <w:rsid w:val="006A4497"/>
    <w:rsid w:val="006A4630"/>
    <w:rsid w:val="006A4E6E"/>
    <w:rsid w:val="006A54EE"/>
    <w:rsid w:val="006A56A0"/>
    <w:rsid w:val="006A57CC"/>
    <w:rsid w:val="006A5807"/>
    <w:rsid w:val="006A5A26"/>
    <w:rsid w:val="006A5A32"/>
    <w:rsid w:val="006A5E69"/>
    <w:rsid w:val="006A6204"/>
    <w:rsid w:val="006A628B"/>
    <w:rsid w:val="006A6D38"/>
    <w:rsid w:val="006A7099"/>
    <w:rsid w:val="006A7319"/>
    <w:rsid w:val="006A73B0"/>
    <w:rsid w:val="006A7760"/>
    <w:rsid w:val="006A7999"/>
    <w:rsid w:val="006B009F"/>
    <w:rsid w:val="006B0372"/>
    <w:rsid w:val="006B0381"/>
    <w:rsid w:val="006B05C0"/>
    <w:rsid w:val="006B0645"/>
    <w:rsid w:val="006B0E4B"/>
    <w:rsid w:val="006B1141"/>
    <w:rsid w:val="006B152D"/>
    <w:rsid w:val="006B1550"/>
    <w:rsid w:val="006B17E6"/>
    <w:rsid w:val="006B1DC0"/>
    <w:rsid w:val="006B29AD"/>
    <w:rsid w:val="006B3082"/>
    <w:rsid w:val="006B3220"/>
    <w:rsid w:val="006B3324"/>
    <w:rsid w:val="006B3335"/>
    <w:rsid w:val="006B39BF"/>
    <w:rsid w:val="006B3B85"/>
    <w:rsid w:val="006B49AA"/>
    <w:rsid w:val="006B4D01"/>
    <w:rsid w:val="006B4EB0"/>
    <w:rsid w:val="006B5402"/>
    <w:rsid w:val="006B5786"/>
    <w:rsid w:val="006B57E2"/>
    <w:rsid w:val="006B584B"/>
    <w:rsid w:val="006B5AEF"/>
    <w:rsid w:val="006B5B05"/>
    <w:rsid w:val="006B5B77"/>
    <w:rsid w:val="006B5FAF"/>
    <w:rsid w:val="006B61F9"/>
    <w:rsid w:val="006B653E"/>
    <w:rsid w:val="006B67E8"/>
    <w:rsid w:val="006B6B99"/>
    <w:rsid w:val="006B7010"/>
    <w:rsid w:val="006B7447"/>
    <w:rsid w:val="006B77DB"/>
    <w:rsid w:val="006B7906"/>
    <w:rsid w:val="006B7C53"/>
    <w:rsid w:val="006B7D64"/>
    <w:rsid w:val="006C0209"/>
    <w:rsid w:val="006C02F1"/>
    <w:rsid w:val="006C0A29"/>
    <w:rsid w:val="006C0A49"/>
    <w:rsid w:val="006C19B4"/>
    <w:rsid w:val="006C207C"/>
    <w:rsid w:val="006C235B"/>
    <w:rsid w:val="006C28E5"/>
    <w:rsid w:val="006C29BA"/>
    <w:rsid w:val="006C2CCA"/>
    <w:rsid w:val="006C3176"/>
    <w:rsid w:val="006C37AF"/>
    <w:rsid w:val="006C392B"/>
    <w:rsid w:val="006C401E"/>
    <w:rsid w:val="006C41D8"/>
    <w:rsid w:val="006C4265"/>
    <w:rsid w:val="006C44A2"/>
    <w:rsid w:val="006C46C7"/>
    <w:rsid w:val="006C46E5"/>
    <w:rsid w:val="006C5500"/>
    <w:rsid w:val="006C55DF"/>
    <w:rsid w:val="006C55F0"/>
    <w:rsid w:val="006C56BE"/>
    <w:rsid w:val="006C5716"/>
    <w:rsid w:val="006C57C2"/>
    <w:rsid w:val="006C59B6"/>
    <w:rsid w:val="006C62A2"/>
    <w:rsid w:val="006C6AD6"/>
    <w:rsid w:val="006C6BE9"/>
    <w:rsid w:val="006C70F5"/>
    <w:rsid w:val="006C73D8"/>
    <w:rsid w:val="006C78C2"/>
    <w:rsid w:val="006D086D"/>
    <w:rsid w:val="006D090F"/>
    <w:rsid w:val="006D0BED"/>
    <w:rsid w:val="006D0C21"/>
    <w:rsid w:val="006D0DD5"/>
    <w:rsid w:val="006D0E1D"/>
    <w:rsid w:val="006D116F"/>
    <w:rsid w:val="006D13CF"/>
    <w:rsid w:val="006D1B0F"/>
    <w:rsid w:val="006D1BDD"/>
    <w:rsid w:val="006D20AA"/>
    <w:rsid w:val="006D27DF"/>
    <w:rsid w:val="006D2840"/>
    <w:rsid w:val="006D284F"/>
    <w:rsid w:val="006D2A65"/>
    <w:rsid w:val="006D2AB7"/>
    <w:rsid w:val="006D2CE7"/>
    <w:rsid w:val="006D2E98"/>
    <w:rsid w:val="006D3239"/>
    <w:rsid w:val="006D3875"/>
    <w:rsid w:val="006D3CD4"/>
    <w:rsid w:val="006D3F19"/>
    <w:rsid w:val="006D40F1"/>
    <w:rsid w:val="006D446E"/>
    <w:rsid w:val="006D44E7"/>
    <w:rsid w:val="006D49DE"/>
    <w:rsid w:val="006D5042"/>
    <w:rsid w:val="006D505F"/>
    <w:rsid w:val="006D56E8"/>
    <w:rsid w:val="006D5D3F"/>
    <w:rsid w:val="006D6211"/>
    <w:rsid w:val="006D6573"/>
    <w:rsid w:val="006D68AA"/>
    <w:rsid w:val="006D7100"/>
    <w:rsid w:val="006D717F"/>
    <w:rsid w:val="006D72D7"/>
    <w:rsid w:val="006E09D1"/>
    <w:rsid w:val="006E0AE1"/>
    <w:rsid w:val="006E0E8A"/>
    <w:rsid w:val="006E0ECC"/>
    <w:rsid w:val="006E1120"/>
    <w:rsid w:val="006E1210"/>
    <w:rsid w:val="006E125C"/>
    <w:rsid w:val="006E14F5"/>
    <w:rsid w:val="006E15EA"/>
    <w:rsid w:val="006E1647"/>
    <w:rsid w:val="006E1732"/>
    <w:rsid w:val="006E1D1E"/>
    <w:rsid w:val="006E1D51"/>
    <w:rsid w:val="006E2020"/>
    <w:rsid w:val="006E2036"/>
    <w:rsid w:val="006E211D"/>
    <w:rsid w:val="006E2366"/>
    <w:rsid w:val="006E2886"/>
    <w:rsid w:val="006E28E7"/>
    <w:rsid w:val="006E2D01"/>
    <w:rsid w:val="006E2D2D"/>
    <w:rsid w:val="006E2FF0"/>
    <w:rsid w:val="006E3135"/>
    <w:rsid w:val="006E32DE"/>
    <w:rsid w:val="006E34C9"/>
    <w:rsid w:val="006E38AC"/>
    <w:rsid w:val="006E3C32"/>
    <w:rsid w:val="006E3C78"/>
    <w:rsid w:val="006E3E35"/>
    <w:rsid w:val="006E40E2"/>
    <w:rsid w:val="006E4667"/>
    <w:rsid w:val="006E4BA8"/>
    <w:rsid w:val="006E508E"/>
    <w:rsid w:val="006E55EC"/>
    <w:rsid w:val="006E5865"/>
    <w:rsid w:val="006E5F28"/>
    <w:rsid w:val="006E60B2"/>
    <w:rsid w:val="006E64DB"/>
    <w:rsid w:val="006E6B74"/>
    <w:rsid w:val="006E740D"/>
    <w:rsid w:val="006E74A4"/>
    <w:rsid w:val="006E75DF"/>
    <w:rsid w:val="006E778E"/>
    <w:rsid w:val="006E7B20"/>
    <w:rsid w:val="006F11A3"/>
    <w:rsid w:val="006F1690"/>
    <w:rsid w:val="006F25C8"/>
    <w:rsid w:val="006F2666"/>
    <w:rsid w:val="006F2939"/>
    <w:rsid w:val="006F2D7A"/>
    <w:rsid w:val="006F3009"/>
    <w:rsid w:val="006F33FA"/>
    <w:rsid w:val="006F34FD"/>
    <w:rsid w:val="006F36FC"/>
    <w:rsid w:val="006F3C88"/>
    <w:rsid w:val="006F4652"/>
    <w:rsid w:val="006F52D6"/>
    <w:rsid w:val="006F5422"/>
    <w:rsid w:val="006F554D"/>
    <w:rsid w:val="006F56D0"/>
    <w:rsid w:val="006F5A7A"/>
    <w:rsid w:val="006F5D00"/>
    <w:rsid w:val="006F5D15"/>
    <w:rsid w:val="006F6383"/>
    <w:rsid w:val="006F63DD"/>
    <w:rsid w:val="006F65AD"/>
    <w:rsid w:val="006F6A7E"/>
    <w:rsid w:val="006F6B36"/>
    <w:rsid w:val="006F6C87"/>
    <w:rsid w:val="006F7CFE"/>
    <w:rsid w:val="007003B1"/>
    <w:rsid w:val="00700575"/>
    <w:rsid w:val="00700918"/>
    <w:rsid w:val="007009B1"/>
    <w:rsid w:val="007017DE"/>
    <w:rsid w:val="007023B5"/>
    <w:rsid w:val="00702532"/>
    <w:rsid w:val="00703232"/>
    <w:rsid w:val="00703379"/>
    <w:rsid w:val="007038F1"/>
    <w:rsid w:val="00703E99"/>
    <w:rsid w:val="00703F69"/>
    <w:rsid w:val="007049FE"/>
    <w:rsid w:val="00704E79"/>
    <w:rsid w:val="00705302"/>
    <w:rsid w:val="007053EC"/>
    <w:rsid w:val="007054DC"/>
    <w:rsid w:val="00705B33"/>
    <w:rsid w:val="00705F90"/>
    <w:rsid w:val="0070605D"/>
    <w:rsid w:val="00706DA0"/>
    <w:rsid w:val="00706E39"/>
    <w:rsid w:val="007072B0"/>
    <w:rsid w:val="007074FC"/>
    <w:rsid w:val="00707941"/>
    <w:rsid w:val="007079F6"/>
    <w:rsid w:val="00707A70"/>
    <w:rsid w:val="00707D9A"/>
    <w:rsid w:val="00707DAB"/>
    <w:rsid w:val="007112CD"/>
    <w:rsid w:val="00711392"/>
    <w:rsid w:val="00711656"/>
    <w:rsid w:val="0071199E"/>
    <w:rsid w:val="007119D0"/>
    <w:rsid w:val="007123C4"/>
    <w:rsid w:val="00712A63"/>
    <w:rsid w:val="00712BCF"/>
    <w:rsid w:val="00712D12"/>
    <w:rsid w:val="00712F8F"/>
    <w:rsid w:val="00713373"/>
    <w:rsid w:val="00713917"/>
    <w:rsid w:val="0071391B"/>
    <w:rsid w:val="0071426F"/>
    <w:rsid w:val="00714E6B"/>
    <w:rsid w:val="00714E7F"/>
    <w:rsid w:val="00714FEB"/>
    <w:rsid w:val="00716575"/>
    <w:rsid w:val="00716805"/>
    <w:rsid w:val="00716EC1"/>
    <w:rsid w:val="007172E1"/>
    <w:rsid w:val="00717BB9"/>
    <w:rsid w:val="00717C08"/>
    <w:rsid w:val="00717DA8"/>
    <w:rsid w:val="00717FDE"/>
    <w:rsid w:val="00720252"/>
    <w:rsid w:val="007204DA"/>
    <w:rsid w:val="007205AB"/>
    <w:rsid w:val="007208BD"/>
    <w:rsid w:val="007208EE"/>
    <w:rsid w:val="0072091E"/>
    <w:rsid w:val="00720D7D"/>
    <w:rsid w:val="00720DD9"/>
    <w:rsid w:val="00721016"/>
    <w:rsid w:val="00721397"/>
    <w:rsid w:val="00721507"/>
    <w:rsid w:val="00721A9D"/>
    <w:rsid w:val="00721BB0"/>
    <w:rsid w:val="00721CCB"/>
    <w:rsid w:val="00722743"/>
    <w:rsid w:val="0072291B"/>
    <w:rsid w:val="00722B16"/>
    <w:rsid w:val="00722FF7"/>
    <w:rsid w:val="00723360"/>
    <w:rsid w:val="00723A0E"/>
    <w:rsid w:val="00723B8D"/>
    <w:rsid w:val="0072464D"/>
    <w:rsid w:val="00724967"/>
    <w:rsid w:val="007255CC"/>
    <w:rsid w:val="00725689"/>
    <w:rsid w:val="00725CE3"/>
    <w:rsid w:val="0072619D"/>
    <w:rsid w:val="00726232"/>
    <w:rsid w:val="0072666A"/>
    <w:rsid w:val="0072671C"/>
    <w:rsid w:val="00726A39"/>
    <w:rsid w:val="00726E10"/>
    <w:rsid w:val="007275C6"/>
    <w:rsid w:val="00727925"/>
    <w:rsid w:val="00727FD0"/>
    <w:rsid w:val="007302F2"/>
    <w:rsid w:val="007303B5"/>
    <w:rsid w:val="00730B45"/>
    <w:rsid w:val="00730BDD"/>
    <w:rsid w:val="00730D04"/>
    <w:rsid w:val="00730E17"/>
    <w:rsid w:val="007310EE"/>
    <w:rsid w:val="0073147F"/>
    <w:rsid w:val="00731914"/>
    <w:rsid w:val="00731965"/>
    <w:rsid w:val="00732158"/>
    <w:rsid w:val="00732389"/>
    <w:rsid w:val="0073241A"/>
    <w:rsid w:val="00732ED9"/>
    <w:rsid w:val="0073331B"/>
    <w:rsid w:val="00733344"/>
    <w:rsid w:val="0073559C"/>
    <w:rsid w:val="00736216"/>
    <w:rsid w:val="00736372"/>
    <w:rsid w:val="00736784"/>
    <w:rsid w:val="00736CF6"/>
    <w:rsid w:val="00736F92"/>
    <w:rsid w:val="0073746C"/>
    <w:rsid w:val="007375CB"/>
    <w:rsid w:val="00737790"/>
    <w:rsid w:val="007378D7"/>
    <w:rsid w:val="00740BDB"/>
    <w:rsid w:val="00742068"/>
    <w:rsid w:val="0074213C"/>
    <w:rsid w:val="00742794"/>
    <w:rsid w:val="00743A9B"/>
    <w:rsid w:val="00743B3F"/>
    <w:rsid w:val="00743C0E"/>
    <w:rsid w:val="00743E92"/>
    <w:rsid w:val="00743F99"/>
    <w:rsid w:val="00743FD3"/>
    <w:rsid w:val="00744398"/>
    <w:rsid w:val="00744409"/>
    <w:rsid w:val="007444B4"/>
    <w:rsid w:val="0074487D"/>
    <w:rsid w:val="00744988"/>
    <w:rsid w:val="00744ABC"/>
    <w:rsid w:val="007451DD"/>
    <w:rsid w:val="007453D3"/>
    <w:rsid w:val="0074540C"/>
    <w:rsid w:val="0074551B"/>
    <w:rsid w:val="00745872"/>
    <w:rsid w:val="00745965"/>
    <w:rsid w:val="00745DDA"/>
    <w:rsid w:val="00746D4A"/>
    <w:rsid w:val="00746E57"/>
    <w:rsid w:val="00746FD9"/>
    <w:rsid w:val="007470CC"/>
    <w:rsid w:val="0074727B"/>
    <w:rsid w:val="007472FB"/>
    <w:rsid w:val="00747761"/>
    <w:rsid w:val="0074782A"/>
    <w:rsid w:val="00747F45"/>
    <w:rsid w:val="007502A4"/>
    <w:rsid w:val="0075040B"/>
    <w:rsid w:val="0075052F"/>
    <w:rsid w:val="00750854"/>
    <w:rsid w:val="00750902"/>
    <w:rsid w:val="00750F52"/>
    <w:rsid w:val="007512AB"/>
    <w:rsid w:val="0075157A"/>
    <w:rsid w:val="00751820"/>
    <w:rsid w:val="0075190E"/>
    <w:rsid w:val="007519FA"/>
    <w:rsid w:val="00751BD7"/>
    <w:rsid w:val="0075228F"/>
    <w:rsid w:val="007523E9"/>
    <w:rsid w:val="0075272D"/>
    <w:rsid w:val="00752A03"/>
    <w:rsid w:val="00752F5E"/>
    <w:rsid w:val="00752FEC"/>
    <w:rsid w:val="007530CD"/>
    <w:rsid w:val="00753470"/>
    <w:rsid w:val="00753553"/>
    <w:rsid w:val="00753782"/>
    <w:rsid w:val="00753F5B"/>
    <w:rsid w:val="0075422B"/>
    <w:rsid w:val="00754FD1"/>
    <w:rsid w:val="0075556F"/>
    <w:rsid w:val="007557EB"/>
    <w:rsid w:val="00755826"/>
    <w:rsid w:val="00755B3B"/>
    <w:rsid w:val="00755B58"/>
    <w:rsid w:val="00755BF6"/>
    <w:rsid w:val="00756453"/>
    <w:rsid w:val="007564C2"/>
    <w:rsid w:val="00756831"/>
    <w:rsid w:val="00756B27"/>
    <w:rsid w:val="00756C2F"/>
    <w:rsid w:val="00756F19"/>
    <w:rsid w:val="00756F6B"/>
    <w:rsid w:val="00757B60"/>
    <w:rsid w:val="00757CAA"/>
    <w:rsid w:val="00757E53"/>
    <w:rsid w:val="00757E8B"/>
    <w:rsid w:val="0076003A"/>
    <w:rsid w:val="007600D6"/>
    <w:rsid w:val="007601B3"/>
    <w:rsid w:val="007601BC"/>
    <w:rsid w:val="00760ACA"/>
    <w:rsid w:val="00760AD8"/>
    <w:rsid w:val="00760B2A"/>
    <w:rsid w:val="00760DCA"/>
    <w:rsid w:val="00760FAB"/>
    <w:rsid w:val="00760FE6"/>
    <w:rsid w:val="007616B2"/>
    <w:rsid w:val="00761F40"/>
    <w:rsid w:val="0076217B"/>
    <w:rsid w:val="00762182"/>
    <w:rsid w:val="00762280"/>
    <w:rsid w:val="007622C8"/>
    <w:rsid w:val="00762354"/>
    <w:rsid w:val="00762569"/>
    <w:rsid w:val="007628D1"/>
    <w:rsid w:val="00762A4E"/>
    <w:rsid w:val="00762E37"/>
    <w:rsid w:val="007630EA"/>
    <w:rsid w:val="0076328B"/>
    <w:rsid w:val="0076334D"/>
    <w:rsid w:val="007634A7"/>
    <w:rsid w:val="00763640"/>
    <w:rsid w:val="007636C1"/>
    <w:rsid w:val="0076385E"/>
    <w:rsid w:val="00763DD9"/>
    <w:rsid w:val="00763F17"/>
    <w:rsid w:val="00763F45"/>
    <w:rsid w:val="0076406C"/>
    <w:rsid w:val="007640FF"/>
    <w:rsid w:val="00765694"/>
    <w:rsid w:val="00765CB6"/>
    <w:rsid w:val="0076619F"/>
    <w:rsid w:val="007669E8"/>
    <w:rsid w:val="00766FBB"/>
    <w:rsid w:val="007670F7"/>
    <w:rsid w:val="007673D0"/>
    <w:rsid w:val="0076741F"/>
    <w:rsid w:val="0076745E"/>
    <w:rsid w:val="007677D1"/>
    <w:rsid w:val="007677E6"/>
    <w:rsid w:val="00770158"/>
    <w:rsid w:val="00770A56"/>
    <w:rsid w:val="00770C0C"/>
    <w:rsid w:val="00770CFC"/>
    <w:rsid w:val="0077145C"/>
    <w:rsid w:val="00771519"/>
    <w:rsid w:val="00771604"/>
    <w:rsid w:val="00771A57"/>
    <w:rsid w:val="00771DFF"/>
    <w:rsid w:val="0077237A"/>
    <w:rsid w:val="0077270E"/>
    <w:rsid w:val="0077280D"/>
    <w:rsid w:val="00772C98"/>
    <w:rsid w:val="00773639"/>
    <w:rsid w:val="00773F4F"/>
    <w:rsid w:val="00774214"/>
    <w:rsid w:val="0077482B"/>
    <w:rsid w:val="007749AA"/>
    <w:rsid w:val="00774B3D"/>
    <w:rsid w:val="007757CC"/>
    <w:rsid w:val="00775B0C"/>
    <w:rsid w:val="00775B61"/>
    <w:rsid w:val="00775BBE"/>
    <w:rsid w:val="00775CCE"/>
    <w:rsid w:val="00775E78"/>
    <w:rsid w:val="0077605B"/>
    <w:rsid w:val="00776760"/>
    <w:rsid w:val="00776B56"/>
    <w:rsid w:val="00776CC0"/>
    <w:rsid w:val="00776D87"/>
    <w:rsid w:val="00776FFD"/>
    <w:rsid w:val="00777221"/>
    <w:rsid w:val="007774E0"/>
    <w:rsid w:val="00777738"/>
    <w:rsid w:val="00777F26"/>
    <w:rsid w:val="0078012C"/>
    <w:rsid w:val="00780492"/>
    <w:rsid w:val="007808A8"/>
    <w:rsid w:val="007809E1"/>
    <w:rsid w:val="00781015"/>
    <w:rsid w:val="00781B3C"/>
    <w:rsid w:val="00781B3D"/>
    <w:rsid w:val="0078214C"/>
    <w:rsid w:val="00782486"/>
    <w:rsid w:val="00782BB5"/>
    <w:rsid w:val="00782E18"/>
    <w:rsid w:val="0078325A"/>
    <w:rsid w:val="007835AD"/>
    <w:rsid w:val="007839B8"/>
    <w:rsid w:val="00783B58"/>
    <w:rsid w:val="00783DFF"/>
    <w:rsid w:val="00784053"/>
    <w:rsid w:val="0078428F"/>
    <w:rsid w:val="007845DF"/>
    <w:rsid w:val="0078516B"/>
    <w:rsid w:val="0078531F"/>
    <w:rsid w:val="00785530"/>
    <w:rsid w:val="00785541"/>
    <w:rsid w:val="00785A73"/>
    <w:rsid w:val="00785C88"/>
    <w:rsid w:val="00785C8B"/>
    <w:rsid w:val="00785D64"/>
    <w:rsid w:val="00785FC2"/>
    <w:rsid w:val="00786245"/>
    <w:rsid w:val="007863DD"/>
    <w:rsid w:val="007864F4"/>
    <w:rsid w:val="007864FD"/>
    <w:rsid w:val="00786BA9"/>
    <w:rsid w:val="00787EEA"/>
    <w:rsid w:val="00790085"/>
    <w:rsid w:val="00790251"/>
    <w:rsid w:val="00790522"/>
    <w:rsid w:val="00790765"/>
    <w:rsid w:val="00790AD3"/>
    <w:rsid w:val="00790BB1"/>
    <w:rsid w:val="00790C4C"/>
    <w:rsid w:val="00790CAB"/>
    <w:rsid w:val="00790E10"/>
    <w:rsid w:val="00790E97"/>
    <w:rsid w:val="007917E2"/>
    <w:rsid w:val="00791C28"/>
    <w:rsid w:val="00792D84"/>
    <w:rsid w:val="0079369D"/>
    <w:rsid w:val="007936F8"/>
    <w:rsid w:val="0079383A"/>
    <w:rsid w:val="00793915"/>
    <w:rsid w:val="00793CED"/>
    <w:rsid w:val="00793E0A"/>
    <w:rsid w:val="00794551"/>
    <w:rsid w:val="007946B8"/>
    <w:rsid w:val="00794D17"/>
    <w:rsid w:val="00794F64"/>
    <w:rsid w:val="007950DF"/>
    <w:rsid w:val="007951D2"/>
    <w:rsid w:val="007954FB"/>
    <w:rsid w:val="007957CB"/>
    <w:rsid w:val="00796B75"/>
    <w:rsid w:val="00796B95"/>
    <w:rsid w:val="007978A3"/>
    <w:rsid w:val="007A0600"/>
    <w:rsid w:val="007A064C"/>
    <w:rsid w:val="007A0F41"/>
    <w:rsid w:val="007A12E7"/>
    <w:rsid w:val="007A1589"/>
    <w:rsid w:val="007A1CD6"/>
    <w:rsid w:val="007A1CE7"/>
    <w:rsid w:val="007A1F9E"/>
    <w:rsid w:val="007A24C9"/>
    <w:rsid w:val="007A258D"/>
    <w:rsid w:val="007A25F3"/>
    <w:rsid w:val="007A2713"/>
    <w:rsid w:val="007A27BC"/>
    <w:rsid w:val="007A289D"/>
    <w:rsid w:val="007A2CD7"/>
    <w:rsid w:val="007A2E7D"/>
    <w:rsid w:val="007A2F16"/>
    <w:rsid w:val="007A3345"/>
    <w:rsid w:val="007A35F6"/>
    <w:rsid w:val="007A3ABC"/>
    <w:rsid w:val="007A3C8D"/>
    <w:rsid w:val="007A3F13"/>
    <w:rsid w:val="007A3FA7"/>
    <w:rsid w:val="007A4BAC"/>
    <w:rsid w:val="007A4C8C"/>
    <w:rsid w:val="007A4E2C"/>
    <w:rsid w:val="007A50D4"/>
    <w:rsid w:val="007A5356"/>
    <w:rsid w:val="007A56A0"/>
    <w:rsid w:val="007A56A5"/>
    <w:rsid w:val="007A5CF5"/>
    <w:rsid w:val="007A60D3"/>
    <w:rsid w:val="007A663C"/>
    <w:rsid w:val="007A6879"/>
    <w:rsid w:val="007A69A9"/>
    <w:rsid w:val="007A6CE1"/>
    <w:rsid w:val="007A737C"/>
    <w:rsid w:val="007A7BE0"/>
    <w:rsid w:val="007B07D9"/>
    <w:rsid w:val="007B16AA"/>
    <w:rsid w:val="007B17F8"/>
    <w:rsid w:val="007B1CD4"/>
    <w:rsid w:val="007B3648"/>
    <w:rsid w:val="007B3E26"/>
    <w:rsid w:val="007B3E3E"/>
    <w:rsid w:val="007B471A"/>
    <w:rsid w:val="007B48AF"/>
    <w:rsid w:val="007B4EBB"/>
    <w:rsid w:val="007B4F0E"/>
    <w:rsid w:val="007B4FF9"/>
    <w:rsid w:val="007B54FD"/>
    <w:rsid w:val="007B5504"/>
    <w:rsid w:val="007B5B9F"/>
    <w:rsid w:val="007B5DE6"/>
    <w:rsid w:val="007B6553"/>
    <w:rsid w:val="007B667E"/>
    <w:rsid w:val="007B6A5A"/>
    <w:rsid w:val="007B6C3E"/>
    <w:rsid w:val="007B7054"/>
    <w:rsid w:val="007B70A8"/>
    <w:rsid w:val="007B7B07"/>
    <w:rsid w:val="007B7CAC"/>
    <w:rsid w:val="007B7EAD"/>
    <w:rsid w:val="007C05A9"/>
    <w:rsid w:val="007C0CC2"/>
    <w:rsid w:val="007C1735"/>
    <w:rsid w:val="007C1FC1"/>
    <w:rsid w:val="007C2A4F"/>
    <w:rsid w:val="007C2B56"/>
    <w:rsid w:val="007C2C9F"/>
    <w:rsid w:val="007C3082"/>
    <w:rsid w:val="007C30B2"/>
    <w:rsid w:val="007C34BF"/>
    <w:rsid w:val="007C39DD"/>
    <w:rsid w:val="007C4422"/>
    <w:rsid w:val="007C44A8"/>
    <w:rsid w:val="007C4E09"/>
    <w:rsid w:val="007C576F"/>
    <w:rsid w:val="007C57FB"/>
    <w:rsid w:val="007C5847"/>
    <w:rsid w:val="007C5BB3"/>
    <w:rsid w:val="007C5EB0"/>
    <w:rsid w:val="007C60F4"/>
    <w:rsid w:val="007C6189"/>
    <w:rsid w:val="007C64F1"/>
    <w:rsid w:val="007C6581"/>
    <w:rsid w:val="007C6614"/>
    <w:rsid w:val="007C6A96"/>
    <w:rsid w:val="007C71ED"/>
    <w:rsid w:val="007C743D"/>
    <w:rsid w:val="007C7A82"/>
    <w:rsid w:val="007C7AE0"/>
    <w:rsid w:val="007D0226"/>
    <w:rsid w:val="007D054B"/>
    <w:rsid w:val="007D09D6"/>
    <w:rsid w:val="007D09FF"/>
    <w:rsid w:val="007D0FB6"/>
    <w:rsid w:val="007D141E"/>
    <w:rsid w:val="007D16FF"/>
    <w:rsid w:val="007D17E6"/>
    <w:rsid w:val="007D22F3"/>
    <w:rsid w:val="007D2E9C"/>
    <w:rsid w:val="007D2EAF"/>
    <w:rsid w:val="007D353E"/>
    <w:rsid w:val="007D3672"/>
    <w:rsid w:val="007D38A0"/>
    <w:rsid w:val="007D3B25"/>
    <w:rsid w:val="007D3D55"/>
    <w:rsid w:val="007D3EA4"/>
    <w:rsid w:val="007D41BA"/>
    <w:rsid w:val="007D4C50"/>
    <w:rsid w:val="007D4C8B"/>
    <w:rsid w:val="007D5489"/>
    <w:rsid w:val="007D5825"/>
    <w:rsid w:val="007D5926"/>
    <w:rsid w:val="007D59AE"/>
    <w:rsid w:val="007D5B9E"/>
    <w:rsid w:val="007D5CC8"/>
    <w:rsid w:val="007D6328"/>
    <w:rsid w:val="007D692F"/>
    <w:rsid w:val="007D69C3"/>
    <w:rsid w:val="007D6B71"/>
    <w:rsid w:val="007D6BEE"/>
    <w:rsid w:val="007D6CE3"/>
    <w:rsid w:val="007D6E8A"/>
    <w:rsid w:val="007D737A"/>
    <w:rsid w:val="007D7417"/>
    <w:rsid w:val="007D7A25"/>
    <w:rsid w:val="007D7CB7"/>
    <w:rsid w:val="007D7DBC"/>
    <w:rsid w:val="007D7DD5"/>
    <w:rsid w:val="007D7EE3"/>
    <w:rsid w:val="007E04ED"/>
    <w:rsid w:val="007E068E"/>
    <w:rsid w:val="007E0739"/>
    <w:rsid w:val="007E097E"/>
    <w:rsid w:val="007E1408"/>
    <w:rsid w:val="007E149F"/>
    <w:rsid w:val="007E16FB"/>
    <w:rsid w:val="007E1AA4"/>
    <w:rsid w:val="007E1E90"/>
    <w:rsid w:val="007E2483"/>
    <w:rsid w:val="007E2627"/>
    <w:rsid w:val="007E281B"/>
    <w:rsid w:val="007E2914"/>
    <w:rsid w:val="007E2F3F"/>
    <w:rsid w:val="007E32B5"/>
    <w:rsid w:val="007E3444"/>
    <w:rsid w:val="007E3487"/>
    <w:rsid w:val="007E368F"/>
    <w:rsid w:val="007E3BE6"/>
    <w:rsid w:val="007E3DAA"/>
    <w:rsid w:val="007E4C15"/>
    <w:rsid w:val="007E4C67"/>
    <w:rsid w:val="007E51CC"/>
    <w:rsid w:val="007E5425"/>
    <w:rsid w:val="007E553A"/>
    <w:rsid w:val="007E589F"/>
    <w:rsid w:val="007E592E"/>
    <w:rsid w:val="007E59BA"/>
    <w:rsid w:val="007E5B85"/>
    <w:rsid w:val="007E600E"/>
    <w:rsid w:val="007E6066"/>
    <w:rsid w:val="007E6715"/>
    <w:rsid w:val="007E6FC1"/>
    <w:rsid w:val="007E7198"/>
    <w:rsid w:val="007E74A2"/>
    <w:rsid w:val="007E7605"/>
    <w:rsid w:val="007E7EB6"/>
    <w:rsid w:val="007E7EFB"/>
    <w:rsid w:val="007F0189"/>
    <w:rsid w:val="007F0B6B"/>
    <w:rsid w:val="007F0C99"/>
    <w:rsid w:val="007F0EE2"/>
    <w:rsid w:val="007F12B4"/>
    <w:rsid w:val="007F235D"/>
    <w:rsid w:val="007F23FB"/>
    <w:rsid w:val="007F24A8"/>
    <w:rsid w:val="007F26B1"/>
    <w:rsid w:val="007F3052"/>
    <w:rsid w:val="007F309A"/>
    <w:rsid w:val="007F3333"/>
    <w:rsid w:val="007F3A6A"/>
    <w:rsid w:val="007F3CDB"/>
    <w:rsid w:val="007F3DBF"/>
    <w:rsid w:val="007F4123"/>
    <w:rsid w:val="007F41E6"/>
    <w:rsid w:val="007F420B"/>
    <w:rsid w:val="007F46FD"/>
    <w:rsid w:val="007F4A5E"/>
    <w:rsid w:val="007F545E"/>
    <w:rsid w:val="007F55DB"/>
    <w:rsid w:val="007F5794"/>
    <w:rsid w:val="007F5CE7"/>
    <w:rsid w:val="007F615B"/>
    <w:rsid w:val="007F624A"/>
    <w:rsid w:val="007F64FB"/>
    <w:rsid w:val="007F65F0"/>
    <w:rsid w:val="007F6757"/>
    <w:rsid w:val="007F737B"/>
    <w:rsid w:val="007F7420"/>
    <w:rsid w:val="007F77B2"/>
    <w:rsid w:val="007F7ABA"/>
    <w:rsid w:val="007F7ADB"/>
    <w:rsid w:val="0080019D"/>
    <w:rsid w:val="0080051E"/>
    <w:rsid w:val="00800659"/>
    <w:rsid w:val="00800B64"/>
    <w:rsid w:val="00801853"/>
    <w:rsid w:val="0080192D"/>
    <w:rsid w:val="00801D52"/>
    <w:rsid w:val="00801DB8"/>
    <w:rsid w:val="00802389"/>
    <w:rsid w:val="008026E1"/>
    <w:rsid w:val="00802D64"/>
    <w:rsid w:val="00802DF4"/>
    <w:rsid w:val="008030BF"/>
    <w:rsid w:val="00804326"/>
    <w:rsid w:val="00804965"/>
    <w:rsid w:val="00804C69"/>
    <w:rsid w:val="00804C6E"/>
    <w:rsid w:val="00804F4D"/>
    <w:rsid w:val="0080525E"/>
    <w:rsid w:val="00805776"/>
    <w:rsid w:val="00805A30"/>
    <w:rsid w:val="00806287"/>
    <w:rsid w:val="0080637D"/>
    <w:rsid w:val="00806ABF"/>
    <w:rsid w:val="00807300"/>
    <w:rsid w:val="00807B55"/>
    <w:rsid w:val="00807F75"/>
    <w:rsid w:val="008106E4"/>
    <w:rsid w:val="00811178"/>
    <w:rsid w:val="0081124C"/>
    <w:rsid w:val="00811543"/>
    <w:rsid w:val="00811631"/>
    <w:rsid w:val="00811A3A"/>
    <w:rsid w:val="00811B02"/>
    <w:rsid w:val="00811C9F"/>
    <w:rsid w:val="0081228F"/>
    <w:rsid w:val="00812D16"/>
    <w:rsid w:val="00812D33"/>
    <w:rsid w:val="00812D55"/>
    <w:rsid w:val="0081302E"/>
    <w:rsid w:val="00813B5D"/>
    <w:rsid w:val="00813DD4"/>
    <w:rsid w:val="00814188"/>
    <w:rsid w:val="0081477B"/>
    <w:rsid w:val="00814DBB"/>
    <w:rsid w:val="00815063"/>
    <w:rsid w:val="00815349"/>
    <w:rsid w:val="008157D7"/>
    <w:rsid w:val="00816583"/>
    <w:rsid w:val="008168E1"/>
    <w:rsid w:val="00816968"/>
    <w:rsid w:val="00816A81"/>
    <w:rsid w:val="00816B25"/>
    <w:rsid w:val="00816DAD"/>
    <w:rsid w:val="00816FB1"/>
    <w:rsid w:val="0081754B"/>
    <w:rsid w:val="008203ED"/>
    <w:rsid w:val="0082046B"/>
    <w:rsid w:val="008205AF"/>
    <w:rsid w:val="00820B9D"/>
    <w:rsid w:val="00820CC6"/>
    <w:rsid w:val="00820D2F"/>
    <w:rsid w:val="00821072"/>
    <w:rsid w:val="0082108F"/>
    <w:rsid w:val="00821A7D"/>
    <w:rsid w:val="0082213E"/>
    <w:rsid w:val="0082286D"/>
    <w:rsid w:val="00822BE1"/>
    <w:rsid w:val="0082304C"/>
    <w:rsid w:val="008232E2"/>
    <w:rsid w:val="00823524"/>
    <w:rsid w:val="0082354B"/>
    <w:rsid w:val="0082367E"/>
    <w:rsid w:val="00823ACB"/>
    <w:rsid w:val="0082478B"/>
    <w:rsid w:val="00824AAF"/>
    <w:rsid w:val="00824DB0"/>
    <w:rsid w:val="00824F06"/>
    <w:rsid w:val="00825055"/>
    <w:rsid w:val="0082537F"/>
    <w:rsid w:val="008254B7"/>
    <w:rsid w:val="00825CCC"/>
    <w:rsid w:val="00826066"/>
    <w:rsid w:val="00826425"/>
    <w:rsid w:val="00826A65"/>
    <w:rsid w:val="00826FC0"/>
    <w:rsid w:val="0082716E"/>
    <w:rsid w:val="008273DB"/>
    <w:rsid w:val="00827407"/>
    <w:rsid w:val="0082769D"/>
    <w:rsid w:val="0082777B"/>
    <w:rsid w:val="00827C02"/>
    <w:rsid w:val="00827C45"/>
    <w:rsid w:val="00827F5A"/>
    <w:rsid w:val="00830203"/>
    <w:rsid w:val="008305A7"/>
    <w:rsid w:val="00830754"/>
    <w:rsid w:val="00830DE7"/>
    <w:rsid w:val="008315AA"/>
    <w:rsid w:val="00831972"/>
    <w:rsid w:val="00831AF6"/>
    <w:rsid w:val="00831C07"/>
    <w:rsid w:val="00831C60"/>
    <w:rsid w:val="008323A1"/>
    <w:rsid w:val="008325A2"/>
    <w:rsid w:val="008327F4"/>
    <w:rsid w:val="00832891"/>
    <w:rsid w:val="00832A46"/>
    <w:rsid w:val="00832E4E"/>
    <w:rsid w:val="00833505"/>
    <w:rsid w:val="00833523"/>
    <w:rsid w:val="00833FFA"/>
    <w:rsid w:val="00835218"/>
    <w:rsid w:val="00835B4B"/>
    <w:rsid w:val="00835DAF"/>
    <w:rsid w:val="008364D9"/>
    <w:rsid w:val="00836A3D"/>
    <w:rsid w:val="008370AC"/>
    <w:rsid w:val="00837373"/>
    <w:rsid w:val="0083745F"/>
    <w:rsid w:val="00837519"/>
    <w:rsid w:val="00837F6D"/>
    <w:rsid w:val="008403D0"/>
    <w:rsid w:val="0084054C"/>
    <w:rsid w:val="008405A4"/>
    <w:rsid w:val="00840714"/>
    <w:rsid w:val="00840A43"/>
    <w:rsid w:val="00840A9E"/>
    <w:rsid w:val="0084124B"/>
    <w:rsid w:val="008414C7"/>
    <w:rsid w:val="008415FF"/>
    <w:rsid w:val="00842041"/>
    <w:rsid w:val="0084238B"/>
    <w:rsid w:val="00842431"/>
    <w:rsid w:val="00842833"/>
    <w:rsid w:val="00842FD3"/>
    <w:rsid w:val="00843669"/>
    <w:rsid w:val="008438D0"/>
    <w:rsid w:val="00843C6C"/>
    <w:rsid w:val="008449A6"/>
    <w:rsid w:val="008449F3"/>
    <w:rsid w:val="00844AB1"/>
    <w:rsid w:val="00844B42"/>
    <w:rsid w:val="00844C56"/>
    <w:rsid w:val="00844E29"/>
    <w:rsid w:val="00844F9A"/>
    <w:rsid w:val="008451CF"/>
    <w:rsid w:val="00845722"/>
    <w:rsid w:val="0084586C"/>
    <w:rsid w:val="00845D5D"/>
    <w:rsid w:val="008461F8"/>
    <w:rsid w:val="0084647A"/>
    <w:rsid w:val="00846C14"/>
    <w:rsid w:val="0084703F"/>
    <w:rsid w:val="0084753A"/>
    <w:rsid w:val="008478A9"/>
    <w:rsid w:val="0084794F"/>
    <w:rsid w:val="00847BDB"/>
    <w:rsid w:val="00847C87"/>
    <w:rsid w:val="00850182"/>
    <w:rsid w:val="00850983"/>
    <w:rsid w:val="00850C91"/>
    <w:rsid w:val="00850D8C"/>
    <w:rsid w:val="008510DC"/>
    <w:rsid w:val="008510DD"/>
    <w:rsid w:val="00851394"/>
    <w:rsid w:val="00851B48"/>
    <w:rsid w:val="008523FC"/>
    <w:rsid w:val="00852421"/>
    <w:rsid w:val="00852513"/>
    <w:rsid w:val="00853659"/>
    <w:rsid w:val="00853AC6"/>
    <w:rsid w:val="00853D94"/>
    <w:rsid w:val="00854484"/>
    <w:rsid w:val="0085464F"/>
    <w:rsid w:val="00854753"/>
    <w:rsid w:val="008547C0"/>
    <w:rsid w:val="00854E09"/>
    <w:rsid w:val="00855120"/>
    <w:rsid w:val="00855230"/>
    <w:rsid w:val="008553FE"/>
    <w:rsid w:val="008555F0"/>
    <w:rsid w:val="00855A59"/>
    <w:rsid w:val="00855DEF"/>
    <w:rsid w:val="00855EAA"/>
    <w:rsid w:val="0085685D"/>
    <w:rsid w:val="00856884"/>
    <w:rsid w:val="008568C6"/>
    <w:rsid w:val="008569D1"/>
    <w:rsid w:val="0085715C"/>
    <w:rsid w:val="00857E64"/>
    <w:rsid w:val="00860042"/>
    <w:rsid w:val="008600FA"/>
    <w:rsid w:val="008605A6"/>
    <w:rsid w:val="0086088A"/>
    <w:rsid w:val="008609D4"/>
    <w:rsid w:val="00860EDC"/>
    <w:rsid w:val="00861826"/>
    <w:rsid w:val="00861C3F"/>
    <w:rsid w:val="00861F59"/>
    <w:rsid w:val="008620FA"/>
    <w:rsid w:val="00862665"/>
    <w:rsid w:val="00862BB1"/>
    <w:rsid w:val="00862E85"/>
    <w:rsid w:val="008633BB"/>
    <w:rsid w:val="00863870"/>
    <w:rsid w:val="00863B29"/>
    <w:rsid w:val="00863FC9"/>
    <w:rsid w:val="00863FD0"/>
    <w:rsid w:val="0086406F"/>
    <w:rsid w:val="00864DBF"/>
    <w:rsid w:val="00865B2B"/>
    <w:rsid w:val="00865BB4"/>
    <w:rsid w:val="00866249"/>
    <w:rsid w:val="00866500"/>
    <w:rsid w:val="00866596"/>
    <w:rsid w:val="00866CDB"/>
    <w:rsid w:val="00866E8E"/>
    <w:rsid w:val="00867158"/>
    <w:rsid w:val="00867B7C"/>
    <w:rsid w:val="00870272"/>
    <w:rsid w:val="0087052E"/>
    <w:rsid w:val="00870C3B"/>
    <w:rsid w:val="008712B6"/>
    <w:rsid w:val="008717EF"/>
    <w:rsid w:val="0087195E"/>
    <w:rsid w:val="00871BE6"/>
    <w:rsid w:val="008721E3"/>
    <w:rsid w:val="00872A89"/>
    <w:rsid w:val="00872C3D"/>
    <w:rsid w:val="00872D62"/>
    <w:rsid w:val="00872DA2"/>
    <w:rsid w:val="00873365"/>
    <w:rsid w:val="00873483"/>
    <w:rsid w:val="00873641"/>
    <w:rsid w:val="008745F9"/>
    <w:rsid w:val="00874805"/>
    <w:rsid w:val="00874AAF"/>
    <w:rsid w:val="00874D14"/>
    <w:rsid w:val="008751ED"/>
    <w:rsid w:val="0087532D"/>
    <w:rsid w:val="008759F2"/>
    <w:rsid w:val="00875B99"/>
    <w:rsid w:val="008765D0"/>
    <w:rsid w:val="008765E4"/>
    <w:rsid w:val="0087663C"/>
    <w:rsid w:val="008770E0"/>
    <w:rsid w:val="008771DB"/>
    <w:rsid w:val="008779CB"/>
    <w:rsid w:val="00877B61"/>
    <w:rsid w:val="00877C92"/>
    <w:rsid w:val="00877FB6"/>
    <w:rsid w:val="0088021C"/>
    <w:rsid w:val="00880280"/>
    <w:rsid w:val="0088043C"/>
    <w:rsid w:val="00880D1B"/>
    <w:rsid w:val="008814AD"/>
    <w:rsid w:val="008817A1"/>
    <w:rsid w:val="008817C1"/>
    <w:rsid w:val="00881C06"/>
    <w:rsid w:val="00881D53"/>
    <w:rsid w:val="00881EEF"/>
    <w:rsid w:val="008821CF"/>
    <w:rsid w:val="0088240E"/>
    <w:rsid w:val="00882B1E"/>
    <w:rsid w:val="00882F00"/>
    <w:rsid w:val="00883721"/>
    <w:rsid w:val="008837FC"/>
    <w:rsid w:val="0088419D"/>
    <w:rsid w:val="00884325"/>
    <w:rsid w:val="008845F7"/>
    <w:rsid w:val="00884621"/>
    <w:rsid w:val="00884796"/>
    <w:rsid w:val="00884C64"/>
    <w:rsid w:val="00884DBD"/>
    <w:rsid w:val="008855F8"/>
    <w:rsid w:val="00885852"/>
    <w:rsid w:val="0088599A"/>
    <w:rsid w:val="00885B9C"/>
    <w:rsid w:val="00885BED"/>
    <w:rsid w:val="00885D28"/>
    <w:rsid w:val="00886140"/>
    <w:rsid w:val="00886198"/>
    <w:rsid w:val="00886406"/>
    <w:rsid w:val="00886539"/>
    <w:rsid w:val="0088662C"/>
    <w:rsid w:val="00886A7F"/>
    <w:rsid w:val="00886EBF"/>
    <w:rsid w:val="00886F34"/>
    <w:rsid w:val="008875AE"/>
    <w:rsid w:val="008902D2"/>
    <w:rsid w:val="00890C27"/>
    <w:rsid w:val="00892219"/>
    <w:rsid w:val="00892338"/>
    <w:rsid w:val="008923F5"/>
    <w:rsid w:val="00892462"/>
    <w:rsid w:val="008927C9"/>
    <w:rsid w:val="00892E73"/>
    <w:rsid w:val="0089376C"/>
    <w:rsid w:val="008941D1"/>
    <w:rsid w:val="00894364"/>
    <w:rsid w:val="008947BD"/>
    <w:rsid w:val="00894CF2"/>
    <w:rsid w:val="008956D3"/>
    <w:rsid w:val="008959C7"/>
    <w:rsid w:val="00895CAF"/>
    <w:rsid w:val="00895FDC"/>
    <w:rsid w:val="008961CB"/>
    <w:rsid w:val="00896239"/>
    <w:rsid w:val="00896564"/>
    <w:rsid w:val="00896CD9"/>
    <w:rsid w:val="00896D4B"/>
    <w:rsid w:val="00896EF6"/>
    <w:rsid w:val="00897617"/>
    <w:rsid w:val="0089770D"/>
    <w:rsid w:val="00897AEA"/>
    <w:rsid w:val="00897BD7"/>
    <w:rsid w:val="00897DD3"/>
    <w:rsid w:val="008A015B"/>
    <w:rsid w:val="008A0939"/>
    <w:rsid w:val="008A0E10"/>
    <w:rsid w:val="008A0FFF"/>
    <w:rsid w:val="008A1019"/>
    <w:rsid w:val="008A13F8"/>
    <w:rsid w:val="008A16FE"/>
    <w:rsid w:val="008A18FF"/>
    <w:rsid w:val="008A1BF0"/>
    <w:rsid w:val="008A2155"/>
    <w:rsid w:val="008A2184"/>
    <w:rsid w:val="008A251D"/>
    <w:rsid w:val="008A277E"/>
    <w:rsid w:val="008A289A"/>
    <w:rsid w:val="008A2BD0"/>
    <w:rsid w:val="008A2D66"/>
    <w:rsid w:val="008A3776"/>
    <w:rsid w:val="008A3930"/>
    <w:rsid w:val="008A3E7D"/>
    <w:rsid w:val="008A3F76"/>
    <w:rsid w:val="008A47E3"/>
    <w:rsid w:val="008A4B2C"/>
    <w:rsid w:val="008A530C"/>
    <w:rsid w:val="008A59EA"/>
    <w:rsid w:val="008A5C1E"/>
    <w:rsid w:val="008A5C72"/>
    <w:rsid w:val="008A5CD6"/>
    <w:rsid w:val="008A5FB7"/>
    <w:rsid w:val="008A6884"/>
    <w:rsid w:val="008A68E9"/>
    <w:rsid w:val="008A6B07"/>
    <w:rsid w:val="008A6E3C"/>
    <w:rsid w:val="008A7E78"/>
    <w:rsid w:val="008A7F50"/>
    <w:rsid w:val="008A7FE9"/>
    <w:rsid w:val="008B0158"/>
    <w:rsid w:val="008B0360"/>
    <w:rsid w:val="008B08D8"/>
    <w:rsid w:val="008B09EC"/>
    <w:rsid w:val="008B0AA5"/>
    <w:rsid w:val="008B0D57"/>
    <w:rsid w:val="008B0DE2"/>
    <w:rsid w:val="008B0E3E"/>
    <w:rsid w:val="008B1993"/>
    <w:rsid w:val="008B1D5B"/>
    <w:rsid w:val="008B1D5E"/>
    <w:rsid w:val="008B1E10"/>
    <w:rsid w:val="008B2289"/>
    <w:rsid w:val="008B24CE"/>
    <w:rsid w:val="008B272B"/>
    <w:rsid w:val="008B2979"/>
    <w:rsid w:val="008B29F1"/>
    <w:rsid w:val="008B3090"/>
    <w:rsid w:val="008B3A6F"/>
    <w:rsid w:val="008B3DF8"/>
    <w:rsid w:val="008B4526"/>
    <w:rsid w:val="008B4566"/>
    <w:rsid w:val="008B46C8"/>
    <w:rsid w:val="008B495C"/>
    <w:rsid w:val="008B4A88"/>
    <w:rsid w:val="008B4CFD"/>
    <w:rsid w:val="008B4FA2"/>
    <w:rsid w:val="008B5336"/>
    <w:rsid w:val="008B53F4"/>
    <w:rsid w:val="008B5E48"/>
    <w:rsid w:val="008B60D7"/>
    <w:rsid w:val="008B62A2"/>
    <w:rsid w:val="008B6407"/>
    <w:rsid w:val="008B65AD"/>
    <w:rsid w:val="008B676A"/>
    <w:rsid w:val="008B6D43"/>
    <w:rsid w:val="008B6FBC"/>
    <w:rsid w:val="008B71C8"/>
    <w:rsid w:val="008B773D"/>
    <w:rsid w:val="008B7A33"/>
    <w:rsid w:val="008B7B04"/>
    <w:rsid w:val="008B7D83"/>
    <w:rsid w:val="008B7E41"/>
    <w:rsid w:val="008C01F4"/>
    <w:rsid w:val="008C06BB"/>
    <w:rsid w:val="008C0EB3"/>
    <w:rsid w:val="008C1781"/>
    <w:rsid w:val="008C1DD5"/>
    <w:rsid w:val="008C1E7E"/>
    <w:rsid w:val="008C1EE0"/>
    <w:rsid w:val="008C1F14"/>
    <w:rsid w:val="008C20DC"/>
    <w:rsid w:val="008C2C7D"/>
    <w:rsid w:val="008C30D4"/>
    <w:rsid w:val="008C3194"/>
    <w:rsid w:val="008C352A"/>
    <w:rsid w:val="008C37CC"/>
    <w:rsid w:val="008C38E5"/>
    <w:rsid w:val="008C3BA2"/>
    <w:rsid w:val="008C3BDA"/>
    <w:rsid w:val="008C41EC"/>
    <w:rsid w:val="008C4563"/>
    <w:rsid w:val="008C470D"/>
    <w:rsid w:val="008C483A"/>
    <w:rsid w:val="008C4843"/>
    <w:rsid w:val="008C48D4"/>
    <w:rsid w:val="008C4ACF"/>
    <w:rsid w:val="008C4D8A"/>
    <w:rsid w:val="008C4F32"/>
    <w:rsid w:val="008C6164"/>
    <w:rsid w:val="008C632F"/>
    <w:rsid w:val="008C633A"/>
    <w:rsid w:val="008C6640"/>
    <w:rsid w:val="008C69E6"/>
    <w:rsid w:val="008C6D80"/>
    <w:rsid w:val="008C7184"/>
    <w:rsid w:val="008C74D6"/>
    <w:rsid w:val="008C7574"/>
    <w:rsid w:val="008C7693"/>
    <w:rsid w:val="008C79E5"/>
    <w:rsid w:val="008D043C"/>
    <w:rsid w:val="008D05AD"/>
    <w:rsid w:val="008D0D79"/>
    <w:rsid w:val="008D0EDA"/>
    <w:rsid w:val="008D102B"/>
    <w:rsid w:val="008D12D0"/>
    <w:rsid w:val="008D1604"/>
    <w:rsid w:val="008D1C34"/>
    <w:rsid w:val="008D1F24"/>
    <w:rsid w:val="008D225C"/>
    <w:rsid w:val="008D2B48"/>
    <w:rsid w:val="008D2B8B"/>
    <w:rsid w:val="008D3B8D"/>
    <w:rsid w:val="008D3BE5"/>
    <w:rsid w:val="008D3CEF"/>
    <w:rsid w:val="008D3DB3"/>
    <w:rsid w:val="008D4AC5"/>
    <w:rsid w:val="008D4E37"/>
    <w:rsid w:val="008D500A"/>
    <w:rsid w:val="008D5063"/>
    <w:rsid w:val="008D5071"/>
    <w:rsid w:val="008D5173"/>
    <w:rsid w:val="008D5792"/>
    <w:rsid w:val="008D633D"/>
    <w:rsid w:val="008D644F"/>
    <w:rsid w:val="008D65D1"/>
    <w:rsid w:val="008D6B98"/>
    <w:rsid w:val="008D6EF4"/>
    <w:rsid w:val="008D74D8"/>
    <w:rsid w:val="008D776C"/>
    <w:rsid w:val="008D7A35"/>
    <w:rsid w:val="008D7BF3"/>
    <w:rsid w:val="008D7DE2"/>
    <w:rsid w:val="008D7DFB"/>
    <w:rsid w:val="008E0106"/>
    <w:rsid w:val="008E0767"/>
    <w:rsid w:val="008E0B72"/>
    <w:rsid w:val="008E14F6"/>
    <w:rsid w:val="008E1595"/>
    <w:rsid w:val="008E1707"/>
    <w:rsid w:val="008E1D6C"/>
    <w:rsid w:val="008E1EAB"/>
    <w:rsid w:val="008E222E"/>
    <w:rsid w:val="008E2CB8"/>
    <w:rsid w:val="008E333D"/>
    <w:rsid w:val="008E3522"/>
    <w:rsid w:val="008E36D6"/>
    <w:rsid w:val="008E3EB4"/>
    <w:rsid w:val="008E4404"/>
    <w:rsid w:val="008E4643"/>
    <w:rsid w:val="008E467E"/>
    <w:rsid w:val="008E48F3"/>
    <w:rsid w:val="008E4984"/>
    <w:rsid w:val="008E4E06"/>
    <w:rsid w:val="008E4E9E"/>
    <w:rsid w:val="008E52E1"/>
    <w:rsid w:val="008E544C"/>
    <w:rsid w:val="008E54E2"/>
    <w:rsid w:val="008E55B0"/>
    <w:rsid w:val="008E566E"/>
    <w:rsid w:val="008E59C5"/>
    <w:rsid w:val="008E5B71"/>
    <w:rsid w:val="008E5BA9"/>
    <w:rsid w:val="008E5DEB"/>
    <w:rsid w:val="008E6346"/>
    <w:rsid w:val="008E65B2"/>
    <w:rsid w:val="008E70C0"/>
    <w:rsid w:val="008E71E0"/>
    <w:rsid w:val="008E75A2"/>
    <w:rsid w:val="008E7B7C"/>
    <w:rsid w:val="008F082A"/>
    <w:rsid w:val="008F09E7"/>
    <w:rsid w:val="008F0BEA"/>
    <w:rsid w:val="008F109C"/>
    <w:rsid w:val="008F19DA"/>
    <w:rsid w:val="008F1A01"/>
    <w:rsid w:val="008F24C0"/>
    <w:rsid w:val="008F24C8"/>
    <w:rsid w:val="008F2639"/>
    <w:rsid w:val="008F2A79"/>
    <w:rsid w:val="008F2C15"/>
    <w:rsid w:val="008F30EA"/>
    <w:rsid w:val="008F31E1"/>
    <w:rsid w:val="008F352F"/>
    <w:rsid w:val="008F35C3"/>
    <w:rsid w:val="008F3960"/>
    <w:rsid w:val="008F3CEC"/>
    <w:rsid w:val="008F3FC9"/>
    <w:rsid w:val="008F4105"/>
    <w:rsid w:val="008F45C0"/>
    <w:rsid w:val="008F488D"/>
    <w:rsid w:val="008F4F80"/>
    <w:rsid w:val="008F5187"/>
    <w:rsid w:val="008F657D"/>
    <w:rsid w:val="008F6ABE"/>
    <w:rsid w:val="008F6EE8"/>
    <w:rsid w:val="008F7675"/>
    <w:rsid w:val="008F7B9A"/>
    <w:rsid w:val="0090056D"/>
    <w:rsid w:val="00900938"/>
    <w:rsid w:val="00900C10"/>
    <w:rsid w:val="0090142C"/>
    <w:rsid w:val="00901959"/>
    <w:rsid w:val="00901DB4"/>
    <w:rsid w:val="00901F86"/>
    <w:rsid w:val="00902689"/>
    <w:rsid w:val="00902750"/>
    <w:rsid w:val="0090294A"/>
    <w:rsid w:val="00902A25"/>
    <w:rsid w:val="00903006"/>
    <w:rsid w:val="00903B91"/>
    <w:rsid w:val="00903D06"/>
    <w:rsid w:val="00903F00"/>
    <w:rsid w:val="009040E7"/>
    <w:rsid w:val="00904964"/>
    <w:rsid w:val="00904985"/>
    <w:rsid w:val="00904A69"/>
    <w:rsid w:val="00904EBF"/>
    <w:rsid w:val="0090518D"/>
    <w:rsid w:val="00905417"/>
    <w:rsid w:val="009054BE"/>
    <w:rsid w:val="009056BD"/>
    <w:rsid w:val="00905903"/>
    <w:rsid w:val="00905AA4"/>
    <w:rsid w:val="00905B32"/>
    <w:rsid w:val="00905BF3"/>
    <w:rsid w:val="00905E23"/>
    <w:rsid w:val="00905FF6"/>
    <w:rsid w:val="00906171"/>
    <w:rsid w:val="0090629F"/>
    <w:rsid w:val="009062FA"/>
    <w:rsid w:val="0090694A"/>
    <w:rsid w:val="0090698D"/>
    <w:rsid w:val="00906A86"/>
    <w:rsid w:val="00906B47"/>
    <w:rsid w:val="00906C44"/>
    <w:rsid w:val="009070DF"/>
    <w:rsid w:val="00907301"/>
    <w:rsid w:val="009077C1"/>
    <w:rsid w:val="00907DD9"/>
    <w:rsid w:val="00907E5F"/>
    <w:rsid w:val="00907E6A"/>
    <w:rsid w:val="00907F7F"/>
    <w:rsid w:val="009100EA"/>
    <w:rsid w:val="00910249"/>
    <w:rsid w:val="00910292"/>
    <w:rsid w:val="009102B0"/>
    <w:rsid w:val="00910801"/>
    <w:rsid w:val="00910908"/>
    <w:rsid w:val="00910ABF"/>
    <w:rsid w:val="00910D17"/>
    <w:rsid w:val="00910D22"/>
    <w:rsid w:val="009111A3"/>
    <w:rsid w:val="0091134F"/>
    <w:rsid w:val="009116CC"/>
    <w:rsid w:val="0091190F"/>
    <w:rsid w:val="00911A17"/>
    <w:rsid w:val="00911BE2"/>
    <w:rsid w:val="00911C1B"/>
    <w:rsid w:val="00912106"/>
    <w:rsid w:val="0091225A"/>
    <w:rsid w:val="00912854"/>
    <w:rsid w:val="00912C71"/>
    <w:rsid w:val="00912E5A"/>
    <w:rsid w:val="00912F7E"/>
    <w:rsid w:val="00913346"/>
    <w:rsid w:val="00913380"/>
    <w:rsid w:val="00913A28"/>
    <w:rsid w:val="00913AC0"/>
    <w:rsid w:val="00913B24"/>
    <w:rsid w:val="00913B49"/>
    <w:rsid w:val="00913C5C"/>
    <w:rsid w:val="00913C9E"/>
    <w:rsid w:val="00913FCF"/>
    <w:rsid w:val="00914167"/>
    <w:rsid w:val="00914225"/>
    <w:rsid w:val="0091520E"/>
    <w:rsid w:val="00915216"/>
    <w:rsid w:val="009152C5"/>
    <w:rsid w:val="00915816"/>
    <w:rsid w:val="00915C11"/>
    <w:rsid w:val="00915D67"/>
    <w:rsid w:val="009164AB"/>
    <w:rsid w:val="009164FB"/>
    <w:rsid w:val="009166F8"/>
    <w:rsid w:val="0091670A"/>
    <w:rsid w:val="00916A7F"/>
    <w:rsid w:val="00916BC4"/>
    <w:rsid w:val="00916DB4"/>
    <w:rsid w:val="00917211"/>
    <w:rsid w:val="0091738C"/>
    <w:rsid w:val="00917A48"/>
    <w:rsid w:val="00917B5F"/>
    <w:rsid w:val="00917D88"/>
    <w:rsid w:val="009200B4"/>
    <w:rsid w:val="00920501"/>
    <w:rsid w:val="00920574"/>
    <w:rsid w:val="00921293"/>
    <w:rsid w:val="00921577"/>
    <w:rsid w:val="009216E9"/>
    <w:rsid w:val="009218CA"/>
    <w:rsid w:val="00922881"/>
    <w:rsid w:val="00923085"/>
    <w:rsid w:val="009230F5"/>
    <w:rsid w:val="0092323E"/>
    <w:rsid w:val="0092331A"/>
    <w:rsid w:val="00923544"/>
    <w:rsid w:val="00924262"/>
    <w:rsid w:val="009244F4"/>
    <w:rsid w:val="009245CB"/>
    <w:rsid w:val="00924D9C"/>
    <w:rsid w:val="00924E45"/>
    <w:rsid w:val="009252E6"/>
    <w:rsid w:val="00925AFF"/>
    <w:rsid w:val="00926635"/>
    <w:rsid w:val="009267FA"/>
    <w:rsid w:val="009268A8"/>
    <w:rsid w:val="00927416"/>
    <w:rsid w:val="009276D4"/>
    <w:rsid w:val="0092778E"/>
    <w:rsid w:val="009278AB"/>
    <w:rsid w:val="00927FF4"/>
    <w:rsid w:val="009305F9"/>
    <w:rsid w:val="009309E4"/>
    <w:rsid w:val="00930B2D"/>
    <w:rsid w:val="00930C3D"/>
    <w:rsid w:val="00930C77"/>
    <w:rsid w:val="009310CC"/>
    <w:rsid w:val="009316AC"/>
    <w:rsid w:val="009316FD"/>
    <w:rsid w:val="00931D70"/>
    <w:rsid w:val="0093246B"/>
    <w:rsid w:val="009324DB"/>
    <w:rsid w:val="0093265B"/>
    <w:rsid w:val="009326FA"/>
    <w:rsid w:val="00932BCA"/>
    <w:rsid w:val="00932EF3"/>
    <w:rsid w:val="009334AA"/>
    <w:rsid w:val="0093358F"/>
    <w:rsid w:val="00933B11"/>
    <w:rsid w:val="00933C87"/>
    <w:rsid w:val="00933E11"/>
    <w:rsid w:val="00933FF9"/>
    <w:rsid w:val="00934115"/>
    <w:rsid w:val="009341A5"/>
    <w:rsid w:val="00934EAC"/>
    <w:rsid w:val="00934F6B"/>
    <w:rsid w:val="00934FE1"/>
    <w:rsid w:val="0093522A"/>
    <w:rsid w:val="00935349"/>
    <w:rsid w:val="00935678"/>
    <w:rsid w:val="009356AA"/>
    <w:rsid w:val="0093573E"/>
    <w:rsid w:val="00935D32"/>
    <w:rsid w:val="00935D81"/>
    <w:rsid w:val="00935E67"/>
    <w:rsid w:val="00936629"/>
    <w:rsid w:val="009368AF"/>
    <w:rsid w:val="00936DD4"/>
    <w:rsid w:val="00936E02"/>
    <w:rsid w:val="0093753D"/>
    <w:rsid w:val="00937600"/>
    <w:rsid w:val="009376DB"/>
    <w:rsid w:val="009377F3"/>
    <w:rsid w:val="00937A72"/>
    <w:rsid w:val="00937B1E"/>
    <w:rsid w:val="00937CDA"/>
    <w:rsid w:val="00937CDD"/>
    <w:rsid w:val="00940DB1"/>
    <w:rsid w:val="00940FCE"/>
    <w:rsid w:val="009411B0"/>
    <w:rsid w:val="00941413"/>
    <w:rsid w:val="009416AC"/>
    <w:rsid w:val="00941822"/>
    <w:rsid w:val="00941933"/>
    <w:rsid w:val="0094196D"/>
    <w:rsid w:val="009420DB"/>
    <w:rsid w:val="00942331"/>
    <w:rsid w:val="00942721"/>
    <w:rsid w:val="0094289F"/>
    <w:rsid w:val="00942CDF"/>
    <w:rsid w:val="00942D19"/>
    <w:rsid w:val="00942F22"/>
    <w:rsid w:val="00943428"/>
    <w:rsid w:val="00943ACB"/>
    <w:rsid w:val="00943CAF"/>
    <w:rsid w:val="0094417D"/>
    <w:rsid w:val="00944847"/>
    <w:rsid w:val="00944A13"/>
    <w:rsid w:val="00945223"/>
    <w:rsid w:val="009456A1"/>
    <w:rsid w:val="00945B8B"/>
    <w:rsid w:val="00945CF6"/>
    <w:rsid w:val="00945E82"/>
    <w:rsid w:val="009462FB"/>
    <w:rsid w:val="009463BB"/>
    <w:rsid w:val="009463E7"/>
    <w:rsid w:val="00946637"/>
    <w:rsid w:val="00946B7C"/>
    <w:rsid w:val="00946BDB"/>
    <w:rsid w:val="009475BA"/>
    <w:rsid w:val="009478D1"/>
    <w:rsid w:val="0095018C"/>
    <w:rsid w:val="0095165A"/>
    <w:rsid w:val="00951CA9"/>
    <w:rsid w:val="00951F2F"/>
    <w:rsid w:val="00952443"/>
    <w:rsid w:val="00952DDA"/>
    <w:rsid w:val="00953058"/>
    <w:rsid w:val="00953339"/>
    <w:rsid w:val="009534DA"/>
    <w:rsid w:val="009539B7"/>
    <w:rsid w:val="00954079"/>
    <w:rsid w:val="00954391"/>
    <w:rsid w:val="009544DF"/>
    <w:rsid w:val="00954565"/>
    <w:rsid w:val="00954633"/>
    <w:rsid w:val="009548B1"/>
    <w:rsid w:val="00954E8B"/>
    <w:rsid w:val="00955438"/>
    <w:rsid w:val="00955480"/>
    <w:rsid w:val="0095605E"/>
    <w:rsid w:val="00956093"/>
    <w:rsid w:val="00956709"/>
    <w:rsid w:val="00956E1D"/>
    <w:rsid w:val="00956E3F"/>
    <w:rsid w:val="00957090"/>
    <w:rsid w:val="009572B6"/>
    <w:rsid w:val="00957331"/>
    <w:rsid w:val="00957829"/>
    <w:rsid w:val="0096011B"/>
    <w:rsid w:val="00960479"/>
    <w:rsid w:val="009606E7"/>
    <w:rsid w:val="00960B21"/>
    <w:rsid w:val="00960BAF"/>
    <w:rsid w:val="00960BB5"/>
    <w:rsid w:val="0096127F"/>
    <w:rsid w:val="00961377"/>
    <w:rsid w:val="00961957"/>
    <w:rsid w:val="00961CF5"/>
    <w:rsid w:val="00961D90"/>
    <w:rsid w:val="00961EBB"/>
    <w:rsid w:val="0096204F"/>
    <w:rsid w:val="009620D1"/>
    <w:rsid w:val="00962436"/>
    <w:rsid w:val="00962593"/>
    <w:rsid w:val="009628B2"/>
    <w:rsid w:val="00962B4E"/>
    <w:rsid w:val="00962FC5"/>
    <w:rsid w:val="009633CF"/>
    <w:rsid w:val="0096349C"/>
    <w:rsid w:val="009636BA"/>
    <w:rsid w:val="00963CC7"/>
    <w:rsid w:val="00963D0B"/>
    <w:rsid w:val="00964060"/>
    <w:rsid w:val="0096421C"/>
    <w:rsid w:val="00964414"/>
    <w:rsid w:val="0096441C"/>
    <w:rsid w:val="009644E1"/>
    <w:rsid w:val="00964861"/>
    <w:rsid w:val="00965486"/>
    <w:rsid w:val="00965C68"/>
    <w:rsid w:val="00965CDB"/>
    <w:rsid w:val="00965CF9"/>
    <w:rsid w:val="009660D9"/>
    <w:rsid w:val="00966370"/>
    <w:rsid w:val="00966A26"/>
    <w:rsid w:val="00966B88"/>
    <w:rsid w:val="00966CF1"/>
    <w:rsid w:val="00966D34"/>
    <w:rsid w:val="009676BC"/>
    <w:rsid w:val="009676BE"/>
    <w:rsid w:val="00967AC9"/>
    <w:rsid w:val="00967DFA"/>
    <w:rsid w:val="009700B8"/>
    <w:rsid w:val="009702DA"/>
    <w:rsid w:val="0097039B"/>
    <w:rsid w:val="009704B7"/>
    <w:rsid w:val="009704C0"/>
    <w:rsid w:val="00970501"/>
    <w:rsid w:val="00970739"/>
    <w:rsid w:val="009709ED"/>
    <w:rsid w:val="009710EC"/>
    <w:rsid w:val="0097192B"/>
    <w:rsid w:val="00971EA2"/>
    <w:rsid w:val="00971F5A"/>
    <w:rsid w:val="00972191"/>
    <w:rsid w:val="009727EE"/>
    <w:rsid w:val="00972E39"/>
    <w:rsid w:val="0097316D"/>
    <w:rsid w:val="009733D3"/>
    <w:rsid w:val="009737D1"/>
    <w:rsid w:val="0097399C"/>
    <w:rsid w:val="00973B99"/>
    <w:rsid w:val="00973DFB"/>
    <w:rsid w:val="009745A2"/>
    <w:rsid w:val="00974CFF"/>
    <w:rsid w:val="0097507B"/>
    <w:rsid w:val="0097550E"/>
    <w:rsid w:val="00975E60"/>
    <w:rsid w:val="00976555"/>
    <w:rsid w:val="00976D70"/>
    <w:rsid w:val="009775DD"/>
    <w:rsid w:val="00977703"/>
    <w:rsid w:val="00980189"/>
    <w:rsid w:val="00980601"/>
    <w:rsid w:val="009812E1"/>
    <w:rsid w:val="00981354"/>
    <w:rsid w:val="00981A67"/>
    <w:rsid w:val="00982057"/>
    <w:rsid w:val="009823A8"/>
    <w:rsid w:val="00982443"/>
    <w:rsid w:val="0098258E"/>
    <w:rsid w:val="00982669"/>
    <w:rsid w:val="00982D60"/>
    <w:rsid w:val="00982FEA"/>
    <w:rsid w:val="009831F2"/>
    <w:rsid w:val="00983330"/>
    <w:rsid w:val="00983527"/>
    <w:rsid w:val="00983B59"/>
    <w:rsid w:val="0098405A"/>
    <w:rsid w:val="009840EB"/>
    <w:rsid w:val="00984480"/>
    <w:rsid w:val="009844B5"/>
    <w:rsid w:val="00984766"/>
    <w:rsid w:val="00984976"/>
    <w:rsid w:val="00984B16"/>
    <w:rsid w:val="00984C66"/>
    <w:rsid w:val="009854C5"/>
    <w:rsid w:val="00985A1C"/>
    <w:rsid w:val="009862DF"/>
    <w:rsid w:val="00986404"/>
    <w:rsid w:val="00986B2C"/>
    <w:rsid w:val="00986C25"/>
    <w:rsid w:val="00986E4D"/>
    <w:rsid w:val="00986F15"/>
    <w:rsid w:val="00987017"/>
    <w:rsid w:val="009875AC"/>
    <w:rsid w:val="009876C7"/>
    <w:rsid w:val="00990602"/>
    <w:rsid w:val="00990938"/>
    <w:rsid w:val="0099093D"/>
    <w:rsid w:val="009909BC"/>
    <w:rsid w:val="00990CB1"/>
    <w:rsid w:val="00991257"/>
    <w:rsid w:val="0099157C"/>
    <w:rsid w:val="00991CD9"/>
    <w:rsid w:val="00991D65"/>
    <w:rsid w:val="00991F78"/>
    <w:rsid w:val="00991FA1"/>
    <w:rsid w:val="009920D8"/>
    <w:rsid w:val="00992155"/>
    <w:rsid w:val="009922CC"/>
    <w:rsid w:val="00992376"/>
    <w:rsid w:val="00992429"/>
    <w:rsid w:val="009924D3"/>
    <w:rsid w:val="009926FB"/>
    <w:rsid w:val="0099288C"/>
    <w:rsid w:val="0099294F"/>
    <w:rsid w:val="00992FD5"/>
    <w:rsid w:val="0099346B"/>
    <w:rsid w:val="0099381A"/>
    <w:rsid w:val="00993AF6"/>
    <w:rsid w:val="009945B8"/>
    <w:rsid w:val="009951FB"/>
    <w:rsid w:val="009956D3"/>
    <w:rsid w:val="00995ACB"/>
    <w:rsid w:val="00995F95"/>
    <w:rsid w:val="0099690D"/>
    <w:rsid w:val="00996D66"/>
    <w:rsid w:val="00996D90"/>
    <w:rsid w:val="00996F44"/>
    <w:rsid w:val="009A09AE"/>
    <w:rsid w:val="009A0E0A"/>
    <w:rsid w:val="009A1066"/>
    <w:rsid w:val="009A19B4"/>
    <w:rsid w:val="009A290B"/>
    <w:rsid w:val="009A2BE0"/>
    <w:rsid w:val="009A2D89"/>
    <w:rsid w:val="009A2E83"/>
    <w:rsid w:val="009A44FF"/>
    <w:rsid w:val="009A45FE"/>
    <w:rsid w:val="009A463B"/>
    <w:rsid w:val="009A505C"/>
    <w:rsid w:val="009A536B"/>
    <w:rsid w:val="009A57B6"/>
    <w:rsid w:val="009A5A93"/>
    <w:rsid w:val="009A60E1"/>
    <w:rsid w:val="009A64DF"/>
    <w:rsid w:val="009A682F"/>
    <w:rsid w:val="009A6974"/>
    <w:rsid w:val="009A69C8"/>
    <w:rsid w:val="009A6D8C"/>
    <w:rsid w:val="009A7146"/>
    <w:rsid w:val="009A7364"/>
    <w:rsid w:val="009A76A4"/>
    <w:rsid w:val="009A776F"/>
    <w:rsid w:val="009A77E3"/>
    <w:rsid w:val="009A7BD2"/>
    <w:rsid w:val="009B0456"/>
    <w:rsid w:val="009B05E4"/>
    <w:rsid w:val="009B0638"/>
    <w:rsid w:val="009B0664"/>
    <w:rsid w:val="009B0866"/>
    <w:rsid w:val="009B0FD7"/>
    <w:rsid w:val="009B17E4"/>
    <w:rsid w:val="009B1928"/>
    <w:rsid w:val="009B1BF4"/>
    <w:rsid w:val="009B1CCE"/>
    <w:rsid w:val="009B1DB2"/>
    <w:rsid w:val="009B1DD4"/>
    <w:rsid w:val="009B22B9"/>
    <w:rsid w:val="009B28CA"/>
    <w:rsid w:val="009B2CDA"/>
    <w:rsid w:val="009B3454"/>
    <w:rsid w:val="009B3EB3"/>
    <w:rsid w:val="009B5069"/>
    <w:rsid w:val="009B58A4"/>
    <w:rsid w:val="009B5A19"/>
    <w:rsid w:val="009B5E40"/>
    <w:rsid w:val="009B630D"/>
    <w:rsid w:val="009B692E"/>
    <w:rsid w:val="009B6932"/>
    <w:rsid w:val="009B7153"/>
    <w:rsid w:val="009B7267"/>
    <w:rsid w:val="009B775C"/>
    <w:rsid w:val="009B7AB4"/>
    <w:rsid w:val="009B7C45"/>
    <w:rsid w:val="009B7E63"/>
    <w:rsid w:val="009C0338"/>
    <w:rsid w:val="009C0EC2"/>
    <w:rsid w:val="009C0F7D"/>
    <w:rsid w:val="009C10E2"/>
    <w:rsid w:val="009C1753"/>
    <w:rsid w:val="009C1B41"/>
    <w:rsid w:val="009C1BE4"/>
    <w:rsid w:val="009C1C11"/>
    <w:rsid w:val="009C1EA4"/>
    <w:rsid w:val="009C235A"/>
    <w:rsid w:val="009C26BC"/>
    <w:rsid w:val="009C2851"/>
    <w:rsid w:val="009C2AC7"/>
    <w:rsid w:val="009C2C4A"/>
    <w:rsid w:val="009C34C7"/>
    <w:rsid w:val="009C35FE"/>
    <w:rsid w:val="009C38DD"/>
    <w:rsid w:val="009C3A2D"/>
    <w:rsid w:val="009C3F11"/>
    <w:rsid w:val="009C43D6"/>
    <w:rsid w:val="009C44B4"/>
    <w:rsid w:val="009C4A09"/>
    <w:rsid w:val="009C4A42"/>
    <w:rsid w:val="009C4B1D"/>
    <w:rsid w:val="009C4DDA"/>
    <w:rsid w:val="009C5045"/>
    <w:rsid w:val="009C5621"/>
    <w:rsid w:val="009C57BC"/>
    <w:rsid w:val="009C5DCF"/>
    <w:rsid w:val="009C6286"/>
    <w:rsid w:val="009C672B"/>
    <w:rsid w:val="009C67AB"/>
    <w:rsid w:val="009C69AC"/>
    <w:rsid w:val="009C77B9"/>
    <w:rsid w:val="009C79A2"/>
    <w:rsid w:val="009C7BC3"/>
    <w:rsid w:val="009D0367"/>
    <w:rsid w:val="009D0733"/>
    <w:rsid w:val="009D09E3"/>
    <w:rsid w:val="009D1C4C"/>
    <w:rsid w:val="009D2113"/>
    <w:rsid w:val="009D2BD6"/>
    <w:rsid w:val="009D2C0A"/>
    <w:rsid w:val="009D3027"/>
    <w:rsid w:val="009D315B"/>
    <w:rsid w:val="009D32A2"/>
    <w:rsid w:val="009D3408"/>
    <w:rsid w:val="009D3537"/>
    <w:rsid w:val="009D366A"/>
    <w:rsid w:val="009D4460"/>
    <w:rsid w:val="009D44FC"/>
    <w:rsid w:val="009D464C"/>
    <w:rsid w:val="009D4704"/>
    <w:rsid w:val="009D48E2"/>
    <w:rsid w:val="009D4958"/>
    <w:rsid w:val="009D4B83"/>
    <w:rsid w:val="009D4BAE"/>
    <w:rsid w:val="009D4CF8"/>
    <w:rsid w:val="009D4F8C"/>
    <w:rsid w:val="009D525F"/>
    <w:rsid w:val="009D5447"/>
    <w:rsid w:val="009D5C6E"/>
    <w:rsid w:val="009D6593"/>
    <w:rsid w:val="009D6CA4"/>
    <w:rsid w:val="009D7068"/>
    <w:rsid w:val="009D78E3"/>
    <w:rsid w:val="009D7907"/>
    <w:rsid w:val="009D7A61"/>
    <w:rsid w:val="009D7A82"/>
    <w:rsid w:val="009D7DA7"/>
    <w:rsid w:val="009D7FF2"/>
    <w:rsid w:val="009E015F"/>
    <w:rsid w:val="009E049C"/>
    <w:rsid w:val="009E052C"/>
    <w:rsid w:val="009E0F77"/>
    <w:rsid w:val="009E1319"/>
    <w:rsid w:val="009E1928"/>
    <w:rsid w:val="009E1A2E"/>
    <w:rsid w:val="009E1A63"/>
    <w:rsid w:val="009E1B27"/>
    <w:rsid w:val="009E26A8"/>
    <w:rsid w:val="009E29BB"/>
    <w:rsid w:val="009E2C22"/>
    <w:rsid w:val="009E336B"/>
    <w:rsid w:val="009E37F8"/>
    <w:rsid w:val="009E3BB8"/>
    <w:rsid w:val="009E3BEB"/>
    <w:rsid w:val="009E4410"/>
    <w:rsid w:val="009E4489"/>
    <w:rsid w:val="009E4E91"/>
    <w:rsid w:val="009E5092"/>
    <w:rsid w:val="009E5169"/>
    <w:rsid w:val="009E5466"/>
    <w:rsid w:val="009E5DCD"/>
    <w:rsid w:val="009E6044"/>
    <w:rsid w:val="009E63B1"/>
    <w:rsid w:val="009E6422"/>
    <w:rsid w:val="009E656A"/>
    <w:rsid w:val="009E65F9"/>
    <w:rsid w:val="009E6923"/>
    <w:rsid w:val="009E6A08"/>
    <w:rsid w:val="009E6A1A"/>
    <w:rsid w:val="009E6E5D"/>
    <w:rsid w:val="009E7012"/>
    <w:rsid w:val="009E704D"/>
    <w:rsid w:val="009E707A"/>
    <w:rsid w:val="009E70B5"/>
    <w:rsid w:val="009E726E"/>
    <w:rsid w:val="009E76EA"/>
    <w:rsid w:val="009E7959"/>
    <w:rsid w:val="009F0010"/>
    <w:rsid w:val="009F0060"/>
    <w:rsid w:val="009F0B69"/>
    <w:rsid w:val="009F100B"/>
    <w:rsid w:val="009F1670"/>
    <w:rsid w:val="009F16EB"/>
    <w:rsid w:val="009F19F9"/>
    <w:rsid w:val="009F1D6C"/>
    <w:rsid w:val="009F2013"/>
    <w:rsid w:val="009F21A4"/>
    <w:rsid w:val="009F2C23"/>
    <w:rsid w:val="009F2D67"/>
    <w:rsid w:val="009F2F81"/>
    <w:rsid w:val="009F334E"/>
    <w:rsid w:val="009F3F12"/>
    <w:rsid w:val="009F409C"/>
    <w:rsid w:val="009F4227"/>
    <w:rsid w:val="009F4258"/>
    <w:rsid w:val="009F4268"/>
    <w:rsid w:val="009F4DB5"/>
    <w:rsid w:val="009F4EFD"/>
    <w:rsid w:val="009F4F4A"/>
    <w:rsid w:val="009F5277"/>
    <w:rsid w:val="009F5524"/>
    <w:rsid w:val="009F5647"/>
    <w:rsid w:val="009F569F"/>
    <w:rsid w:val="009F5D33"/>
    <w:rsid w:val="009F5DF8"/>
    <w:rsid w:val="009F61FE"/>
    <w:rsid w:val="009F6231"/>
    <w:rsid w:val="009F6506"/>
    <w:rsid w:val="009F6566"/>
    <w:rsid w:val="009F67F2"/>
    <w:rsid w:val="009F6A52"/>
    <w:rsid w:val="009F730D"/>
    <w:rsid w:val="009F7363"/>
    <w:rsid w:val="009F7CA1"/>
    <w:rsid w:val="00A00347"/>
    <w:rsid w:val="00A00547"/>
    <w:rsid w:val="00A00594"/>
    <w:rsid w:val="00A00C74"/>
    <w:rsid w:val="00A00E25"/>
    <w:rsid w:val="00A0119F"/>
    <w:rsid w:val="00A01860"/>
    <w:rsid w:val="00A01FE1"/>
    <w:rsid w:val="00A020C6"/>
    <w:rsid w:val="00A021CC"/>
    <w:rsid w:val="00A0260F"/>
    <w:rsid w:val="00A026D1"/>
    <w:rsid w:val="00A026F7"/>
    <w:rsid w:val="00A02AFF"/>
    <w:rsid w:val="00A030DE"/>
    <w:rsid w:val="00A03C4F"/>
    <w:rsid w:val="00A03CAB"/>
    <w:rsid w:val="00A03D54"/>
    <w:rsid w:val="00A03ED8"/>
    <w:rsid w:val="00A040BE"/>
    <w:rsid w:val="00A04362"/>
    <w:rsid w:val="00A044DA"/>
    <w:rsid w:val="00A04BC8"/>
    <w:rsid w:val="00A0565D"/>
    <w:rsid w:val="00A0578A"/>
    <w:rsid w:val="00A05B74"/>
    <w:rsid w:val="00A05B91"/>
    <w:rsid w:val="00A05E6D"/>
    <w:rsid w:val="00A06947"/>
    <w:rsid w:val="00A06F20"/>
    <w:rsid w:val="00A06FB8"/>
    <w:rsid w:val="00A07153"/>
    <w:rsid w:val="00A071FD"/>
    <w:rsid w:val="00A07535"/>
    <w:rsid w:val="00A07775"/>
    <w:rsid w:val="00A079B8"/>
    <w:rsid w:val="00A07E20"/>
    <w:rsid w:val="00A105AA"/>
    <w:rsid w:val="00A10E74"/>
    <w:rsid w:val="00A10EE7"/>
    <w:rsid w:val="00A11655"/>
    <w:rsid w:val="00A11670"/>
    <w:rsid w:val="00A11CEA"/>
    <w:rsid w:val="00A1218D"/>
    <w:rsid w:val="00A126F7"/>
    <w:rsid w:val="00A12D8D"/>
    <w:rsid w:val="00A12F7D"/>
    <w:rsid w:val="00A138D1"/>
    <w:rsid w:val="00A1392D"/>
    <w:rsid w:val="00A13975"/>
    <w:rsid w:val="00A13AAE"/>
    <w:rsid w:val="00A13F10"/>
    <w:rsid w:val="00A13FAF"/>
    <w:rsid w:val="00A141C8"/>
    <w:rsid w:val="00A142E4"/>
    <w:rsid w:val="00A14C83"/>
    <w:rsid w:val="00A15255"/>
    <w:rsid w:val="00A15297"/>
    <w:rsid w:val="00A15393"/>
    <w:rsid w:val="00A15BA8"/>
    <w:rsid w:val="00A15CF2"/>
    <w:rsid w:val="00A1644C"/>
    <w:rsid w:val="00A164F5"/>
    <w:rsid w:val="00A16800"/>
    <w:rsid w:val="00A16ADA"/>
    <w:rsid w:val="00A16CF7"/>
    <w:rsid w:val="00A16DE9"/>
    <w:rsid w:val="00A17266"/>
    <w:rsid w:val="00A177F4"/>
    <w:rsid w:val="00A17F86"/>
    <w:rsid w:val="00A2071A"/>
    <w:rsid w:val="00A20B0A"/>
    <w:rsid w:val="00A20DC1"/>
    <w:rsid w:val="00A20FC0"/>
    <w:rsid w:val="00A211F3"/>
    <w:rsid w:val="00A2175B"/>
    <w:rsid w:val="00A2178E"/>
    <w:rsid w:val="00A21D16"/>
    <w:rsid w:val="00A224C7"/>
    <w:rsid w:val="00A22611"/>
    <w:rsid w:val="00A22786"/>
    <w:rsid w:val="00A22ED7"/>
    <w:rsid w:val="00A23087"/>
    <w:rsid w:val="00A233D6"/>
    <w:rsid w:val="00A23694"/>
    <w:rsid w:val="00A2370F"/>
    <w:rsid w:val="00A2372D"/>
    <w:rsid w:val="00A23733"/>
    <w:rsid w:val="00A239A9"/>
    <w:rsid w:val="00A23B15"/>
    <w:rsid w:val="00A24075"/>
    <w:rsid w:val="00A24278"/>
    <w:rsid w:val="00A242E6"/>
    <w:rsid w:val="00A2502F"/>
    <w:rsid w:val="00A25885"/>
    <w:rsid w:val="00A25AE0"/>
    <w:rsid w:val="00A25B5E"/>
    <w:rsid w:val="00A25C49"/>
    <w:rsid w:val="00A260CF"/>
    <w:rsid w:val="00A260D1"/>
    <w:rsid w:val="00A2678A"/>
    <w:rsid w:val="00A26A00"/>
    <w:rsid w:val="00A26B7A"/>
    <w:rsid w:val="00A26E3F"/>
    <w:rsid w:val="00A26FCF"/>
    <w:rsid w:val="00A27066"/>
    <w:rsid w:val="00A279AE"/>
    <w:rsid w:val="00A27F8F"/>
    <w:rsid w:val="00A30720"/>
    <w:rsid w:val="00A3097D"/>
    <w:rsid w:val="00A30EA0"/>
    <w:rsid w:val="00A30FF6"/>
    <w:rsid w:val="00A312F1"/>
    <w:rsid w:val="00A314D4"/>
    <w:rsid w:val="00A3150B"/>
    <w:rsid w:val="00A3186F"/>
    <w:rsid w:val="00A31A33"/>
    <w:rsid w:val="00A321C9"/>
    <w:rsid w:val="00A322BA"/>
    <w:rsid w:val="00A339B3"/>
    <w:rsid w:val="00A34146"/>
    <w:rsid w:val="00A355F3"/>
    <w:rsid w:val="00A3653A"/>
    <w:rsid w:val="00A365DE"/>
    <w:rsid w:val="00A36887"/>
    <w:rsid w:val="00A36AF9"/>
    <w:rsid w:val="00A36BD0"/>
    <w:rsid w:val="00A3704F"/>
    <w:rsid w:val="00A3726E"/>
    <w:rsid w:val="00A37B44"/>
    <w:rsid w:val="00A40080"/>
    <w:rsid w:val="00A400D7"/>
    <w:rsid w:val="00A40440"/>
    <w:rsid w:val="00A4092D"/>
    <w:rsid w:val="00A40993"/>
    <w:rsid w:val="00A41021"/>
    <w:rsid w:val="00A416FC"/>
    <w:rsid w:val="00A418C5"/>
    <w:rsid w:val="00A4248D"/>
    <w:rsid w:val="00A42DB5"/>
    <w:rsid w:val="00A43664"/>
    <w:rsid w:val="00A43E86"/>
    <w:rsid w:val="00A43EEC"/>
    <w:rsid w:val="00A43F1A"/>
    <w:rsid w:val="00A44A28"/>
    <w:rsid w:val="00A44CAF"/>
    <w:rsid w:val="00A44FCA"/>
    <w:rsid w:val="00A4536D"/>
    <w:rsid w:val="00A46008"/>
    <w:rsid w:val="00A46410"/>
    <w:rsid w:val="00A46521"/>
    <w:rsid w:val="00A467EB"/>
    <w:rsid w:val="00A46A0F"/>
    <w:rsid w:val="00A46AD4"/>
    <w:rsid w:val="00A46B36"/>
    <w:rsid w:val="00A47038"/>
    <w:rsid w:val="00A4728C"/>
    <w:rsid w:val="00A47496"/>
    <w:rsid w:val="00A475A9"/>
    <w:rsid w:val="00A47BA6"/>
    <w:rsid w:val="00A47E5B"/>
    <w:rsid w:val="00A50446"/>
    <w:rsid w:val="00A504A4"/>
    <w:rsid w:val="00A506DE"/>
    <w:rsid w:val="00A508E1"/>
    <w:rsid w:val="00A51045"/>
    <w:rsid w:val="00A51109"/>
    <w:rsid w:val="00A51CB7"/>
    <w:rsid w:val="00A51E3A"/>
    <w:rsid w:val="00A5227D"/>
    <w:rsid w:val="00A525AC"/>
    <w:rsid w:val="00A5286E"/>
    <w:rsid w:val="00A52A91"/>
    <w:rsid w:val="00A5376C"/>
    <w:rsid w:val="00A53AD8"/>
    <w:rsid w:val="00A53B7C"/>
    <w:rsid w:val="00A53F9F"/>
    <w:rsid w:val="00A54241"/>
    <w:rsid w:val="00A54A26"/>
    <w:rsid w:val="00A54B04"/>
    <w:rsid w:val="00A55043"/>
    <w:rsid w:val="00A55128"/>
    <w:rsid w:val="00A5551F"/>
    <w:rsid w:val="00A55A3C"/>
    <w:rsid w:val="00A55CB1"/>
    <w:rsid w:val="00A5632C"/>
    <w:rsid w:val="00A56407"/>
    <w:rsid w:val="00A5647C"/>
    <w:rsid w:val="00A5652B"/>
    <w:rsid w:val="00A56CDE"/>
    <w:rsid w:val="00A56E2D"/>
    <w:rsid w:val="00A56EB7"/>
    <w:rsid w:val="00A57197"/>
    <w:rsid w:val="00A57888"/>
    <w:rsid w:val="00A57F79"/>
    <w:rsid w:val="00A603B1"/>
    <w:rsid w:val="00A604FC"/>
    <w:rsid w:val="00A60523"/>
    <w:rsid w:val="00A609D2"/>
    <w:rsid w:val="00A60A40"/>
    <w:rsid w:val="00A60B5D"/>
    <w:rsid w:val="00A60CF5"/>
    <w:rsid w:val="00A613FC"/>
    <w:rsid w:val="00A61529"/>
    <w:rsid w:val="00A61F12"/>
    <w:rsid w:val="00A62051"/>
    <w:rsid w:val="00A623E2"/>
    <w:rsid w:val="00A62647"/>
    <w:rsid w:val="00A62F16"/>
    <w:rsid w:val="00A63B1E"/>
    <w:rsid w:val="00A63D57"/>
    <w:rsid w:val="00A643EE"/>
    <w:rsid w:val="00A64411"/>
    <w:rsid w:val="00A646A3"/>
    <w:rsid w:val="00A6480C"/>
    <w:rsid w:val="00A64C8C"/>
    <w:rsid w:val="00A64E89"/>
    <w:rsid w:val="00A65096"/>
    <w:rsid w:val="00A6531C"/>
    <w:rsid w:val="00A65439"/>
    <w:rsid w:val="00A6554D"/>
    <w:rsid w:val="00A65930"/>
    <w:rsid w:val="00A6610F"/>
    <w:rsid w:val="00A6648B"/>
    <w:rsid w:val="00A666C2"/>
    <w:rsid w:val="00A6680B"/>
    <w:rsid w:val="00A66A56"/>
    <w:rsid w:val="00A66D55"/>
    <w:rsid w:val="00A66E10"/>
    <w:rsid w:val="00A6704C"/>
    <w:rsid w:val="00A671FD"/>
    <w:rsid w:val="00A672CA"/>
    <w:rsid w:val="00A6739A"/>
    <w:rsid w:val="00A7026D"/>
    <w:rsid w:val="00A704C2"/>
    <w:rsid w:val="00A707AB"/>
    <w:rsid w:val="00A70A6B"/>
    <w:rsid w:val="00A70E9D"/>
    <w:rsid w:val="00A71100"/>
    <w:rsid w:val="00A713B2"/>
    <w:rsid w:val="00A7185B"/>
    <w:rsid w:val="00A71B09"/>
    <w:rsid w:val="00A71BFB"/>
    <w:rsid w:val="00A71D4F"/>
    <w:rsid w:val="00A71E01"/>
    <w:rsid w:val="00A722EE"/>
    <w:rsid w:val="00A72629"/>
    <w:rsid w:val="00A72816"/>
    <w:rsid w:val="00A7329B"/>
    <w:rsid w:val="00A738E7"/>
    <w:rsid w:val="00A73F53"/>
    <w:rsid w:val="00A74141"/>
    <w:rsid w:val="00A74297"/>
    <w:rsid w:val="00A7432B"/>
    <w:rsid w:val="00A74B8F"/>
    <w:rsid w:val="00A74F8C"/>
    <w:rsid w:val="00A75473"/>
    <w:rsid w:val="00A7588F"/>
    <w:rsid w:val="00A75AC8"/>
    <w:rsid w:val="00A75BA2"/>
    <w:rsid w:val="00A75BD5"/>
    <w:rsid w:val="00A75BE3"/>
    <w:rsid w:val="00A75D33"/>
    <w:rsid w:val="00A7628E"/>
    <w:rsid w:val="00A76317"/>
    <w:rsid w:val="00A76947"/>
    <w:rsid w:val="00A76B32"/>
    <w:rsid w:val="00A77424"/>
    <w:rsid w:val="00A800F3"/>
    <w:rsid w:val="00A80386"/>
    <w:rsid w:val="00A81B2C"/>
    <w:rsid w:val="00A81F21"/>
    <w:rsid w:val="00A823A5"/>
    <w:rsid w:val="00A82E68"/>
    <w:rsid w:val="00A834D2"/>
    <w:rsid w:val="00A83DC0"/>
    <w:rsid w:val="00A840C0"/>
    <w:rsid w:val="00A8430A"/>
    <w:rsid w:val="00A848D8"/>
    <w:rsid w:val="00A84EE7"/>
    <w:rsid w:val="00A852A9"/>
    <w:rsid w:val="00A85572"/>
    <w:rsid w:val="00A8595C"/>
    <w:rsid w:val="00A862E1"/>
    <w:rsid w:val="00A86BDA"/>
    <w:rsid w:val="00A87606"/>
    <w:rsid w:val="00A87710"/>
    <w:rsid w:val="00A87890"/>
    <w:rsid w:val="00A9003A"/>
    <w:rsid w:val="00A90081"/>
    <w:rsid w:val="00A901EB"/>
    <w:rsid w:val="00A902F9"/>
    <w:rsid w:val="00A9088E"/>
    <w:rsid w:val="00A90C9D"/>
    <w:rsid w:val="00A911FB"/>
    <w:rsid w:val="00A91BDB"/>
    <w:rsid w:val="00A92270"/>
    <w:rsid w:val="00A92332"/>
    <w:rsid w:val="00A92683"/>
    <w:rsid w:val="00A9293B"/>
    <w:rsid w:val="00A92DE0"/>
    <w:rsid w:val="00A92F6B"/>
    <w:rsid w:val="00A9312C"/>
    <w:rsid w:val="00A93151"/>
    <w:rsid w:val="00A93A91"/>
    <w:rsid w:val="00A94696"/>
    <w:rsid w:val="00A94C27"/>
    <w:rsid w:val="00A950DB"/>
    <w:rsid w:val="00A952B0"/>
    <w:rsid w:val="00A95551"/>
    <w:rsid w:val="00A95675"/>
    <w:rsid w:val="00A959E9"/>
    <w:rsid w:val="00A961FA"/>
    <w:rsid w:val="00A9665B"/>
    <w:rsid w:val="00A967F2"/>
    <w:rsid w:val="00A96937"/>
    <w:rsid w:val="00A969D2"/>
    <w:rsid w:val="00A97A22"/>
    <w:rsid w:val="00A97DDA"/>
    <w:rsid w:val="00AA0505"/>
    <w:rsid w:val="00AA05E5"/>
    <w:rsid w:val="00AA0FA3"/>
    <w:rsid w:val="00AA101B"/>
    <w:rsid w:val="00AA101D"/>
    <w:rsid w:val="00AA14EB"/>
    <w:rsid w:val="00AA1732"/>
    <w:rsid w:val="00AA181A"/>
    <w:rsid w:val="00AA1B33"/>
    <w:rsid w:val="00AA2433"/>
    <w:rsid w:val="00AA25F7"/>
    <w:rsid w:val="00AA2A5F"/>
    <w:rsid w:val="00AA2ED2"/>
    <w:rsid w:val="00AA38A7"/>
    <w:rsid w:val="00AA3914"/>
    <w:rsid w:val="00AA3962"/>
    <w:rsid w:val="00AA3DFF"/>
    <w:rsid w:val="00AA3F6B"/>
    <w:rsid w:val="00AA425C"/>
    <w:rsid w:val="00AA4A68"/>
    <w:rsid w:val="00AA4E10"/>
    <w:rsid w:val="00AA5208"/>
    <w:rsid w:val="00AA5300"/>
    <w:rsid w:val="00AA5359"/>
    <w:rsid w:val="00AA59D2"/>
    <w:rsid w:val="00AA5AC5"/>
    <w:rsid w:val="00AA5B98"/>
    <w:rsid w:val="00AA60E6"/>
    <w:rsid w:val="00AA621C"/>
    <w:rsid w:val="00AA632D"/>
    <w:rsid w:val="00AA652C"/>
    <w:rsid w:val="00AA6915"/>
    <w:rsid w:val="00AA6C51"/>
    <w:rsid w:val="00AA6CFF"/>
    <w:rsid w:val="00AA6F3E"/>
    <w:rsid w:val="00AA740C"/>
    <w:rsid w:val="00AA7460"/>
    <w:rsid w:val="00AA75C1"/>
    <w:rsid w:val="00AA7AA2"/>
    <w:rsid w:val="00AA7F9C"/>
    <w:rsid w:val="00AB003E"/>
    <w:rsid w:val="00AB0D2E"/>
    <w:rsid w:val="00AB1375"/>
    <w:rsid w:val="00AB14B5"/>
    <w:rsid w:val="00AB19D3"/>
    <w:rsid w:val="00AB1D7D"/>
    <w:rsid w:val="00AB21B9"/>
    <w:rsid w:val="00AB224D"/>
    <w:rsid w:val="00AB2539"/>
    <w:rsid w:val="00AB28C2"/>
    <w:rsid w:val="00AB2998"/>
    <w:rsid w:val="00AB2A66"/>
    <w:rsid w:val="00AB2B05"/>
    <w:rsid w:val="00AB2BDF"/>
    <w:rsid w:val="00AB2C0B"/>
    <w:rsid w:val="00AB2CD6"/>
    <w:rsid w:val="00AB3C7D"/>
    <w:rsid w:val="00AB3EF8"/>
    <w:rsid w:val="00AB3F03"/>
    <w:rsid w:val="00AB40F9"/>
    <w:rsid w:val="00AB472C"/>
    <w:rsid w:val="00AB4954"/>
    <w:rsid w:val="00AB49E4"/>
    <w:rsid w:val="00AB4C21"/>
    <w:rsid w:val="00AB4F75"/>
    <w:rsid w:val="00AB53A1"/>
    <w:rsid w:val="00AB5702"/>
    <w:rsid w:val="00AB58C2"/>
    <w:rsid w:val="00AB58F0"/>
    <w:rsid w:val="00AB5E31"/>
    <w:rsid w:val="00AB68BC"/>
    <w:rsid w:val="00AB6BC1"/>
    <w:rsid w:val="00AB6E25"/>
    <w:rsid w:val="00AB7487"/>
    <w:rsid w:val="00AB7F37"/>
    <w:rsid w:val="00AC01BF"/>
    <w:rsid w:val="00AC0537"/>
    <w:rsid w:val="00AC0722"/>
    <w:rsid w:val="00AC0BF1"/>
    <w:rsid w:val="00AC0CFE"/>
    <w:rsid w:val="00AC0F62"/>
    <w:rsid w:val="00AC1183"/>
    <w:rsid w:val="00AC13AA"/>
    <w:rsid w:val="00AC1443"/>
    <w:rsid w:val="00AC1854"/>
    <w:rsid w:val="00AC1A0C"/>
    <w:rsid w:val="00AC1A2B"/>
    <w:rsid w:val="00AC1BC5"/>
    <w:rsid w:val="00AC22CE"/>
    <w:rsid w:val="00AC2511"/>
    <w:rsid w:val="00AC27D9"/>
    <w:rsid w:val="00AC3AC4"/>
    <w:rsid w:val="00AC4122"/>
    <w:rsid w:val="00AC41BB"/>
    <w:rsid w:val="00AC42BD"/>
    <w:rsid w:val="00AC434E"/>
    <w:rsid w:val="00AC47DD"/>
    <w:rsid w:val="00AC4E56"/>
    <w:rsid w:val="00AC554B"/>
    <w:rsid w:val="00AC5562"/>
    <w:rsid w:val="00AC570C"/>
    <w:rsid w:val="00AC5B47"/>
    <w:rsid w:val="00AC5C82"/>
    <w:rsid w:val="00AC619C"/>
    <w:rsid w:val="00AC68A7"/>
    <w:rsid w:val="00AC6C9E"/>
    <w:rsid w:val="00AC71BB"/>
    <w:rsid w:val="00AC72B8"/>
    <w:rsid w:val="00AC76D0"/>
    <w:rsid w:val="00AD0036"/>
    <w:rsid w:val="00AD0124"/>
    <w:rsid w:val="00AD0305"/>
    <w:rsid w:val="00AD0C66"/>
    <w:rsid w:val="00AD0D71"/>
    <w:rsid w:val="00AD17B2"/>
    <w:rsid w:val="00AD1C59"/>
    <w:rsid w:val="00AD1D22"/>
    <w:rsid w:val="00AD1E58"/>
    <w:rsid w:val="00AD1F85"/>
    <w:rsid w:val="00AD23A6"/>
    <w:rsid w:val="00AD2682"/>
    <w:rsid w:val="00AD27B8"/>
    <w:rsid w:val="00AD307F"/>
    <w:rsid w:val="00AD319D"/>
    <w:rsid w:val="00AD319E"/>
    <w:rsid w:val="00AD3428"/>
    <w:rsid w:val="00AD37D9"/>
    <w:rsid w:val="00AD3B12"/>
    <w:rsid w:val="00AD3BA3"/>
    <w:rsid w:val="00AD421B"/>
    <w:rsid w:val="00AD4252"/>
    <w:rsid w:val="00AD4668"/>
    <w:rsid w:val="00AD4E5C"/>
    <w:rsid w:val="00AD4F00"/>
    <w:rsid w:val="00AD4F3A"/>
    <w:rsid w:val="00AD4FAE"/>
    <w:rsid w:val="00AD504A"/>
    <w:rsid w:val="00AD5D95"/>
    <w:rsid w:val="00AD5E28"/>
    <w:rsid w:val="00AD5EBA"/>
    <w:rsid w:val="00AD6028"/>
    <w:rsid w:val="00AD6125"/>
    <w:rsid w:val="00AD67A7"/>
    <w:rsid w:val="00AD77D5"/>
    <w:rsid w:val="00AD7905"/>
    <w:rsid w:val="00AD7AF2"/>
    <w:rsid w:val="00AE032E"/>
    <w:rsid w:val="00AE112B"/>
    <w:rsid w:val="00AE1304"/>
    <w:rsid w:val="00AE1597"/>
    <w:rsid w:val="00AE1A73"/>
    <w:rsid w:val="00AE233D"/>
    <w:rsid w:val="00AE27B7"/>
    <w:rsid w:val="00AE2D0F"/>
    <w:rsid w:val="00AE3472"/>
    <w:rsid w:val="00AE397C"/>
    <w:rsid w:val="00AE3B15"/>
    <w:rsid w:val="00AE3C23"/>
    <w:rsid w:val="00AE3E63"/>
    <w:rsid w:val="00AE3ECD"/>
    <w:rsid w:val="00AE400E"/>
    <w:rsid w:val="00AE40E9"/>
    <w:rsid w:val="00AE45E2"/>
    <w:rsid w:val="00AE46E3"/>
    <w:rsid w:val="00AE56C7"/>
    <w:rsid w:val="00AE5B40"/>
    <w:rsid w:val="00AE6C83"/>
    <w:rsid w:val="00AE6D77"/>
    <w:rsid w:val="00AE70C1"/>
    <w:rsid w:val="00AE7124"/>
    <w:rsid w:val="00AE773C"/>
    <w:rsid w:val="00AE787F"/>
    <w:rsid w:val="00AE7F14"/>
    <w:rsid w:val="00AF048A"/>
    <w:rsid w:val="00AF0C8B"/>
    <w:rsid w:val="00AF191D"/>
    <w:rsid w:val="00AF1D7E"/>
    <w:rsid w:val="00AF1EDD"/>
    <w:rsid w:val="00AF1FC2"/>
    <w:rsid w:val="00AF230A"/>
    <w:rsid w:val="00AF23B5"/>
    <w:rsid w:val="00AF23D9"/>
    <w:rsid w:val="00AF23F1"/>
    <w:rsid w:val="00AF2A9A"/>
    <w:rsid w:val="00AF2FB3"/>
    <w:rsid w:val="00AF3190"/>
    <w:rsid w:val="00AF324D"/>
    <w:rsid w:val="00AF3279"/>
    <w:rsid w:val="00AF3281"/>
    <w:rsid w:val="00AF3614"/>
    <w:rsid w:val="00AF386E"/>
    <w:rsid w:val="00AF3C27"/>
    <w:rsid w:val="00AF3CF6"/>
    <w:rsid w:val="00AF3D0E"/>
    <w:rsid w:val="00AF44D4"/>
    <w:rsid w:val="00AF4EAD"/>
    <w:rsid w:val="00AF5173"/>
    <w:rsid w:val="00AF5582"/>
    <w:rsid w:val="00AF5B6F"/>
    <w:rsid w:val="00AF5F53"/>
    <w:rsid w:val="00AF5F5F"/>
    <w:rsid w:val="00AF6207"/>
    <w:rsid w:val="00AF6BAC"/>
    <w:rsid w:val="00AF7811"/>
    <w:rsid w:val="00AF782F"/>
    <w:rsid w:val="00AF790B"/>
    <w:rsid w:val="00AF7BCD"/>
    <w:rsid w:val="00AF7C36"/>
    <w:rsid w:val="00AF7C45"/>
    <w:rsid w:val="00AF7E84"/>
    <w:rsid w:val="00B00129"/>
    <w:rsid w:val="00B006FE"/>
    <w:rsid w:val="00B00BE2"/>
    <w:rsid w:val="00B00EF2"/>
    <w:rsid w:val="00B00F00"/>
    <w:rsid w:val="00B00F2F"/>
    <w:rsid w:val="00B00FA6"/>
    <w:rsid w:val="00B016B4"/>
    <w:rsid w:val="00B01966"/>
    <w:rsid w:val="00B01D97"/>
    <w:rsid w:val="00B01FE0"/>
    <w:rsid w:val="00B02114"/>
    <w:rsid w:val="00B024B7"/>
    <w:rsid w:val="00B0263B"/>
    <w:rsid w:val="00B02841"/>
    <w:rsid w:val="00B02D49"/>
    <w:rsid w:val="00B02EA2"/>
    <w:rsid w:val="00B0311E"/>
    <w:rsid w:val="00B0344E"/>
    <w:rsid w:val="00B03CBC"/>
    <w:rsid w:val="00B040CB"/>
    <w:rsid w:val="00B0410E"/>
    <w:rsid w:val="00B04AC6"/>
    <w:rsid w:val="00B04BC2"/>
    <w:rsid w:val="00B04CC1"/>
    <w:rsid w:val="00B0535D"/>
    <w:rsid w:val="00B06299"/>
    <w:rsid w:val="00B06AFC"/>
    <w:rsid w:val="00B07434"/>
    <w:rsid w:val="00B074DA"/>
    <w:rsid w:val="00B07595"/>
    <w:rsid w:val="00B0759C"/>
    <w:rsid w:val="00B0765D"/>
    <w:rsid w:val="00B10341"/>
    <w:rsid w:val="00B10674"/>
    <w:rsid w:val="00B10DC3"/>
    <w:rsid w:val="00B10E65"/>
    <w:rsid w:val="00B10F0C"/>
    <w:rsid w:val="00B11135"/>
    <w:rsid w:val="00B11333"/>
    <w:rsid w:val="00B11353"/>
    <w:rsid w:val="00B11492"/>
    <w:rsid w:val="00B11B65"/>
    <w:rsid w:val="00B1386B"/>
    <w:rsid w:val="00B139A3"/>
    <w:rsid w:val="00B139B6"/>
    <w:rsid w:val="00B141FD"/>
    <w:rsid w:val="00B144EA"/>
    <w:rsid w:val="00B1475A"/>
    <w:rsid w:val="00B147A2"/>
    <w:rsid w:val="00B148B0"/>
    <w:rsid w:val="00B151DB"/>
    <w:rsid w:val="00B153A3"/>
    <w:rsid w:val="00B154F6"/>
    <w:rsid w:val="00B15542"/>
    <w:rsid w:val="00B156C4"/>
    <w:rsid w:val="00B15720"/>
    <w:rsid w:val="00B15D49"/>
    <w:rsid w:val="00B16607"/>
    <w:rsid w:val="00B17570"/>
    <w:rsid w:val="00B1762B"/>
    <w:rsid w:val="00B20564"/>
    <w:rsid w:val="00B20C6A"/>
    <w:rsid w:val="00B21134"/>
    <w:rsid w:val="00B2141D"/>
    <w:rsid w:val="00B2144A"/>
    <w:rsid w:val="00B21491"/>
    <w:rsid w:val="00B21558"/>
    <w:rsid w:val="00B21677"/>
    <w:rsid w:val="00B21A0A"/>
    <w:rsid w:val="00B21DDC"/>
    <w:rsid w:val="00B21E33"/>
    <w:rsid w:val="00B2296D"/>
    <w:rsid w:val="00B23465"/>
    <w:rsid w:val="00B240FD"/>
    <w:rsid w:val="00B24419"/>
    <w:rsid w:val="00B24680"/>
    <w:rsid w:val="00B249CF"/>
    <w:rsid w:val="00B24B69"/>
    <w:rsid w:val="00B24C9C"/>
    <w:rsid w:val="00B24DE9"/>
    <w:rsid w:val="00B24E3F"/>
    <w:rsid w:val="00B25087"/>
    <w:rsid w:val="00B2560B"/>
    <w:rsid w:val="00B2595E"/>
    <w:rsid w:val="00B25DB1"/>
    <w:rsid w:val="00B2601A"/>
    <w:rsid w:val="00B2617F"/>
    <w:rsid w:val="00B263A9"/>
    <w:rsid w:val="00B26432"/>
    <w:rsid w:val="00B2693F"/>
    <w:rsid w:val="00B269E5"/>
    <w:rsid w:val="00B26CC5"/>
    <w:rsid w:val="00B26D2D"/>
    <w:rsid w:val="00B27061"/>
    <w:rsid w:val="00B27677"/>
    <w:rsid w:val="00B27866"/>
    <w:rsid w:val="00B27BFD"/>
    <w:rsid w:val="00B307CD"/>
    <w:rsid w:val="00B30D0C"/>
    <w:rsid w:val="00B3119B"/>
    <w:rsid w:val="00B3148A"/>
    <w:rsid w:val="00B314FC"/>
    <w:rsid w:val="00B318C4"/>
    <w:rsid w:val="00B31A8E"/>
    <w:rsid w:val="00B31D19"/>
    <w:rsid w:val="00B32127"/>
    <w:rsid w:val="00B3220A"/>
    <w:rsid w:val="00B324D3"/>
    <w:rsid w:val="00B3274C"/>
    <w:rsid w:val="00B32E75"/>
    <w:rsid w:val="00B32F06"/>
    <w:rsid w:val="00B3353D"/>
    <w:rsid w:val="00B335A9"/>
    <w:rsid w:val="00B33AB9"/>
    <w:rsid w:val="00B33C19"/>
    <w:rsid w:val="00B341E2"/>
    <w:rsid w:val="00B344B7"/>
    <w:rsid w:val="00B34DDE"/>
    <w:rsid w:val="00B34F26"/>
    <w:rsid w:val="00B359CD"/>
    <w:rsid w:val="00B35B74"/>
    <w:rsid w:val="00B36030"/>
    <w:rsid w:val="00B3628F"/>
    <w:rsid w:val="00B362BD"/>
    <w:rsid w:val="00B362D4"/>
    <w:rsid w:val="00B37300"/>
    <w:rsid w:val="00B37328"/>
    <w:rsid w:val="00B3797D"/>
    <w:rsid w:val="00B40142"/>
    <w:rsid w:val="00B4047E"/>
    <w:rsid w:val="00B40604"/>
    <w:rsid w:val="00B407C4"/>
    <w:rsid w:val="00B40884"/>
    <w:rsid w:val="00B40B99"/>
    <w:rsid w:val="00B41BE1"/>
    <w:rsid w:val="00B42227"/>
    <w:rsid w:val="00B426CF"/>
    <w:rsid w:val="00B42858"/>
    <w:rsid w:val="00B42E6B"/>
    <w:rsid w:val="00B43171"/>
    <w:rsid w:val="00B433C0"/>
    <w:rsid w:val="00B4359C"/>
    <w:rsid w:val="00B439D3"/>
    <w:rsid w:val="00B43B9B"/>
    <w:rsid w:val="00B43ED6"/>
    <w:rsid w:val="00B43FD4"/>
    <w:rsid w:val="00B4405D"/>
    <w:rsid w:val="00B4421F"/>
    <w:rsid w:val="00B4442B"/>
    <w:rsid w:val="00B44BD9"/>
    <w:rsid w:val="00B450C7"/>
    <w:rsid w:val="00B454BD"/>
    <w:rsid w:val="00B45A86"/>
    <w:rsid w:val="00B45CA2"/>
    <w:rsid w:val="00B45FB8"/>
    <w:rsid w:val="00B465C3"/>
    <w:rsid w:val="00B4693C"/>
    <w:rsid w:val="00B4697A"/>
    <w:rsid w:val="00B46BE1"/>
    <w:rsid w:val="00B46F9C"/>
    <w:rsid w:val="00B47148"/>
    <w:rsid w:val="00B471D8"/>
    <w:rsid w:val="00B4759D"/>
    <w:rsid w:val="00B475AF"/>
    <w:rsid w:val="00B47999"/>
    <w:rsid w:val="00B47A36"/>
    <w:rsid w:val="00B47A54"/>
    <w:rsid w:val="00B47C54"/>
    <w:rsid w:val="00B47D7C"/>
    <w:rsid w:val="00B47DB4"/>
    <w:rsid w:val="00B47E21"/>
    <w:rsid w:val="00B50239"/>
    <w:rsid w:val="00B5089F"/>
    <w:rsid w:val="00B50B53"/>
    <w:rsid w:val="00B50BD2"/>
    <w:rsid w:val="00B50D40"/>
    <w:rsid w:val="00B511AD"/>
    <w:rsid w:val="00B511CA"/>
    <w:rsid w:val="00B512FE"/>
    <w:rsid w:val="00B518D3"/>
    <w:rsid w:val="00B51FCC"/>
    <w:rsid w:val="00B520F0"/>
    <w:rsid w:val="00B5260A"/>
    <w:rsid w:val="00B528D0"/>
    <w:rsid w:val="00B528E7"/>
    <w:rsid w:val="00B533D8"/>
    <w:rsid w:val="00B5380D"/>
    <w:rsid w:val="00B5385D"/>
    <w:rsid w:val="00B53913"/>
    <w:rsid w:val="00B539D8"/>
    <w:rsid w:val="00B53B63"/>
    <w:rsid w:val="00B54896"/>
    <w:rsid w:val="00B549DF"/>
    <w:rsid w:val="00B5542E"/>
    <w:rsid w:val="00B55574"/>
    <w:rsid w:val="00B55C02"/>
    <w:rsid w:val="00B5605E"/>
    <w:rsid w:val="00B5608C"/>
    <w:rsid w:val="00B56C3E"/>
    <w:rsid w:val="00B5733D"/>
    <w:rsid w:val="00B575CE"/>
    <w:rsid w:val="00B57899"/>
    <w:rsid w:val="00B57B36"/>
    <w:rsid w:val="00B60440"/>
    <w:rsid w:val="00B60FC0"/>
    <w:rsid w:val="00B61F0E"/>
    <w:rsid w:val="00B61F48"/>
    <w:rsid w:val="00B6237B"/>
    <w:rsid w:val="00B62978"/>
    <w:rsid w:val="00B6297B"/>
    <w:rsid w:val="00B62C73"/>
    <w:rsid w:val="00B62F35"/>
    <w:rsid w:val="00B631E3"/>
    <w:rsid w:val="00B63321"/>
    <w:rsid w:val="00B638CF"/>
    <w:rsid w:val="00B63901"/>
    <w:rsid w:val="00B63CD9"/>
    <w:rsid w:val="00B63F4B"/>
    <w:rsid w:val="00B63F77"/>
    <w:rsid w:val="00B64011"/>
    <w:rsid w:val="00B641EF"/>
    <w:rsid w:val="00B64507"/>
    <w:rsid w:val="00B6472A"/>
    <w:rsid w:val="00B648A3"/>
    <w:rsid w:val="00B64CA3"/>
    <w:rsid w:val="00B64E94"/>
    <w:rsid w:val="00B651EF"/>
    <w:rsid w:val="00B659EC"/>
    <w:rsid w:val="00B65C13"/>
    <w:rsid w:val="00B66023"/>
    <w:rsid w:val="00B6649E"/>
    <w:rsid w:val="00B66646"/>
    <w:rsid w:val="00B6683E"/>
    <w:rsid w:val="00B66A54"/>
    <w:rsid w:val="00B66C6F"/>
    <w:rsid w:val="00B66CD2"/>
    <w:rsid w:val="00B66EE3"/>
    <w:rsid w:val="00B6719C"/>
    <w:rsid w:val="00B67673"/>
    <w:rsid w:val="00B700B5"/>
    <w:rsid w:val="00B7011D"/>
    <w:rsid w:val="00B701BC"/>
    <w:rsid w:val="00B70B4C"/>
    <w:rsid w:val="00B70F72"/>
    <w:rsid w:val="00B714E1"/>
    <w:rsid w:val="00B71A6E"/>
    <w:rsid w:val="00B71C34"/>
    <w:rsid w:val="00B72704"/>
    <w:rsid w:val="00B73A77"/>
    <w:rsid w:val="00B73D86"/>
    <w:rsid w:val="00B74061"/>
    <w:rsid w:val="00B74574"/>
    <w:rsid w:val="00B74BF9"/>
    <w:rsid w:val="00B753A3"/>
    <w:rsid w:val="00B754CB"/>
    <w:rsid w:val="00B7550D"/>
    <w:rsid w:val="00B75942"/>
    <w:rsid w:val="00B75DF6"/>
    <w:rsid w:val="00B76145"/>
    <w:rsid w:val="00B76307"/>
    <w:rsid w:val="00B7664C"/>
    <w:rsid w:val="00B76EAB"/>
    <w:rsid w:val="00B76F2B"/>
    <w:rsid w:val="00B77AA9"/>
    <w:rsid w:val="00B77EAE"/>
    <w:rsid w:val="00B8048D"/>
    <w:rsid w:val="00B804C3"/>
    <w:rsid w:val="00B807A9"/>
    <w:rsid w:val="00B80B5A"/>
    <w:rsid w:val="00B80B78"/>
    <w:rsid w:val="00B80D2C"/>
    <w:rsid w:val="00B80E43"/>
    <w:rsid w:val="00B811D3"/>
    <w:rsid w:val="00B81813"/>
    <w:rsid w:val="00B819F6"/>
    <w:rsid w:val="00B81BC5"/>
    <w:rsid w:val="00B81E87"/>
    <w:rsid w:val="00B83150"/>
    <w:rsid w:val="00B835D1"/>
    <w:rsid w:val="00B83718"/>
    <w:rsid w:val="00B83860"/>
    <w:rsid w:val="00B84248"/>
    <w:rsid w:val="00B845C2"/>
    <w:rsid w:val="00B84A55"/>
    <w:rsid w:val="00B852BF"/>
    <w:rsid w:val="00B8537C"/>
    <w:rsid w:val="00B857CF"/>
    <w:rsid w:val="00B85E0B"/>
    <w:rsid w:val="00B85F25"/>
    <w:rsid w:val="00B86528"/>
    <w:rsid w:val="00B86884"/>
    <w:rsid w:val="00B86932"/>
    <w:rsid w:val="00B86D7A"/>
    <w:rsid w:val="00B86EA2"/>
    <w:rsid w:val="00B86EB7"/>
    <w:rsid w:val="00B870C7"/>
    <w:rsid w:val="00B87DD1"/>
    <w:rsid w:val="00B90615"/>
    <w:rsid w:val="00B913E0"/>
    <w:rsid w:val="00B91CCB"/>
    <w:rsid w:val="00B91EC0"/>
    <w:rsid w:val="00B92371"/>
    <w:rsid w:val="00B923C7"/>
    <w:rsid w:val="00B92B29"/>
    <w:rsid w:val="00B92D0A"/>
    <w:rsid w:val="00B92D58"/>
    <w:rsid w:val="00B92F5C"/>
    <w:rsid w:val="00B93012"/>
    <w:rsid w:val="00B93183"/>
    <w:rsid w:val="00B931B0"/>
    <w:rsid w:val="00B93FB7"/>
    <w:rsid w:val="00B94469"/>
    <w:rsid w:val="00B9477E"/>
    <w:rsid w:val="00B94C9E"/>
    <w:rsid w:val="00B9533A"/>
    <w:rsid w:val="00B953D7"/>
    <w:rsid w:val="00B95512"/>
    <w:rsid w:val="00B955B6"/>
    <w:rsid w:val="00B95607"/>
    <w:rsid w:val="00B95654"/>
    <w:rsid w:val="00B959F7"/>
    <w:rsid w:val="00B95FB9"/>
    <w:rsid w:val="00B9681C"/>
    <w:rsid w:val="00B96988"/>
    <w:rsid w:val="00B96C98"/>
    <w:rsid w:val="00B96CB1"/>
    <w:rsid w:val="00B96DF6"/>
    <w:rsid w:val="00B96F3A"/>
    <w:rsid w:val="00B973E9"/>
    <w:rsid w:val="00B97570"/>
    <w:rsid w:val="00BA0389"/>
    <w:rsid w:val="00BA0460"/>
    <w:rsid w:val="00BA0485"/>
    <w:rsid w:val="00BA086D"/>
    <w:rsid w:val="00BA0BFB"/>
    <w:rsid w:val="00BA11FA"/>
    <w:rsid w:val="00BA18C1"/>
    <w:rsid w:val="00BA21DB"/>
    <w:rsid w:val="00BA2887"/>
    <w:rsid w:val="00BA2E7A"/>
    <w:rsid w:val="00BA37E2"/>
    <w:rsid w:val="00BA38A5"/>
    <w:rsid w:val="00BA3AA7"/>
    <w:rsid w:val="00BA41F9"/>
    <w:rsid w:val="00BA42B2"/>
    <w:rsid w:val="00BA42DC"/>
    <w:rsid w:val="00BA47BB"/>
    <w:rsid w:val="00BA4910"/>
    <w:rsid w:val="00BA49F4"/>
    <w:rsid w:val="00BA4BE3"/>
    <w:rsid w:val="00BA4F36"/>
    <w:rsid w:val="00BA4FDF"/>
    <w:rsid w:val="00BA5365"/>
    <w:rsid w:val="00BA5662"/>
    <w:rsid w:val="00BA568A"/>
    <w:rsid w:val="00BA5EFB"/>
    <w:rsid w:val="00BA6014"/>
    <w:rsid w:val="00BA644D"/>
    <w:rsid w:val="00BA6A3B"/>
    <w:rsid w:val="00BA6DA3"/>
    <w:rsid w:val="00BA70C8"/>
    <w:rsid w:val="00BA73CC"/>
    <w:rsid w:val="00BA73E7"/>
    <w:rsid w:val="00BA790C"/>
    <w:rsid w:val="00BA7BBA"/>
    <w:rsid w:val="00BB01A5"/>
    <w:rsid w:val="00BB038F"/>
    <w:rsid w:val="00BB0741"/>
    <w:rsid w:val="00BB0AE4"/>
    <w:rsid w:val="00BB0DCE"/>
    <w:rsid w:val="00BB1606"/>
    <w:rsid w:val="00BB1868"/>
    <w:rsid w:val="00BB19BF"/>
    <w:rsid w:val="00BB2332"/>
    <w:rsid w:val="00BB25F6"/>
    <w:rsid w:val="00BB26C2"/>
    <w:rsid w:val="00BB28D2"/>
    <w:rsid w:val="00BB2952"/>
    <w:rsid w:val="00BB42B2"/>
    <w:rsid w:val="00BB4422"/>
    <w:rsid w:val="00BB5023"/>
    <w:rsid w:val="00BB540A"/>
    <w:rsid w:val="00BB5537"/>
    <w:rsid w:val="00BB568E"/>
    <w:rsid w:val="00BB5C01"/>
    <w:rsid w:val="00BB5ECC"/>
    <w:rsid w:val="00BB5F13"/>
    <w:rsid w:val="00BB5F5D"/>
    <w:rsid w:val="00BB5FB9"/>
    <w:rsid w:val="00BB608B"/>
    <w:rsid w:val="00BB617A"/>
    <w:rsid w:val="00BB68EA"/>
    <w:rsid w:val="00BB6AA5"/>
    <w:rsid w:val="00BB7273"/>
    <w:rsid w:val="00BB76AF"/>
    <w:rsid w:val="00BB79B6"/>
    <w:rsid w:val="00BB7EDB"/>
    <w:rsid w:val="00BC05DB"/>
    <w:rsid w:val="00BC0C2C"/>
    <w:rsid w:val="00BC0F84"/>
    <w:rsid w:val="00BC112F"/>
    <w:rsid w:val="00BC118B"/>
    <w:rsid w:val="00BC1620"/>
    <w:rsid w:val="00BC1740"/>
    <w:rsid w:val="00BC1908"/>
    <w:rsid w:val="00BC19B5"/>
    <w:rsid w:val="00BC1A36"/>
    <w:rsid w:val="00BC1CF1"/>
    <w:rsid w:val="00BC1EAD"/>
    <w:rsid w:val="00BC1F4F"/>
    <w:rsid w:val="00BC2205"/>
    <w:rsid w:val="00BC245B"/>
    <w:rsid w:val="00BC2AD2"/>
    <w:rsid w:val="00BC2B0C"/>
    <w:rsid w:val="00BC2DEB"/>
    <w:rsid w:val="00BC32B6"/>
    <w:rsid w:val="00BC366E"/>
    <w:rsid w:val="00BC416A"/>
    <w:rsid w:val="00BC416D"/>
    <w:rsid w:val="00BC43B6"/>
    <w:rsid w:val="00BC532F"/>
    <w:rsid w:val="00BC53AE"/>
    <w:rsid w:val="00BC53ED"/>
    <w:rsid w:val="00BC5514"/>
    <w:rsid w:val="00BC5635"/>
    <w:rsid w:val="00BC5984"/>
    <w:rsid w:val="00BC5BC8"/>
    <w:rsid w:val="00BC5CEE"/>
    <w:rsid w:val="00BC63F0"/>
    <w:rsid w:val="00BC65D6"/>
    <w:rsid w:val="00BC6617"/>
    <w:rsid w:val="00BC6A54"/>
    <w:rsid w:val="00BC6ADF"/>
    <w:rsid w:val="00BC6CEF"/>
    <w:rsid w:val="00BC6FA0"/>
    <w:rsid w:val="00BC745F"/>
    <w:rsid w:val="00BC7D9D"/>
    <w:rsid w:val="00BC7DF4"/>
    <w:rsid w:val="00BD008C"/>
    <w:rsid w:val="00BD009D"/>
    <w:rsid w:val="00BD05BC"/>
    <w:rsid w:val="00BD05D6"/>
    <w:rsid w:val="00BD0CAC"/>
    <w:rsid w:val="00BD0E8C"/>
    <w:rsid w:val="00BD0ECD"/>
    <w:rsid w:val="00BD0FA3"/>
    <w:rsid w:val="00BD0FE0"/>
    <w:rsid w:val="00BD1AA3"/>
    <w:rsid w:val="00BD1C01"/>
    <w:rsid w:val="00BD1C84"/>
    <w:rsid w:val="00BD1D1C"/>
    <w:rsid w:val="00BD1DA9"/>
    <w:rsid w:val="00BD2205"/>
    <w:rsid w:val="00BD295A"/>
    <w:rsid w:val="00BD2F60"/>
    <w:rsid w:val="00BD371C"/>
    <w:rsid w:val="00BD3E51"/>
    <w:rsid w:val="00BD476B"/>
    <w:rsid w:val="00BD4BA0"/>
    <w:rsid w:val="00BD52BE"/>
    <w:rsid w:val="00BD5388"/>
    <w:rsid w:val="00BD5853"/>
    <w:rsid w:val="00BD5C4C"/>
    <w:rsid w:val="00BD5D04"/>
    <w:rsid w:val="00BD5E41"/>
    <w:rsid w:val="00BD67A4"/>
    <w:rsid w:val="00BD6BB1"/>
    <w:rsid w:val="00BD703B"/>
    <w:rsid w:val="00BD71D3"/>
    <w:rsid w:val="00BD7245"/>
    <w:rsid w:val="00BD7592"/>
    <w:rsid w:val="00BD76EA"/>
    <w:rsid w:val="00BD7E7C"/>
    <w:rsid w:val="00BE025E"/>
    <w:rsid w:val="00BE0502"/>
    <w:rsid w:val="00BE06C8"/>
    <w:rsid w:val="00BE0A83"/>
    <w:rsid w:val="00BE0C3D"/>
    <w:rsid w:val="00BE1439"/>
    <w:rsid w:val="00BE1769"/>
    <w:rsid w:val="00BE1A25"/>
    <w:rsid w:val="00BE2352"/>
    <w:rsid w:val="00BE257D"/>
    <w:rsid w:val="00BE27E4"/>
    <w:rsid w:val="00BE2825"/>
    <w:rsid w:val="00BE2C98"/>
    <w:rsid w:val="00BE2F9C"/>
    <w:rsid w:val="00BE33E0"/>
    <w:rsid w:val="00BE3934"/>
    <w:rsid w:val="00BE3A59"/>
    <w:rsid w:val="00BE3F02"/>
    <w:rsid w:val="00BE418A"/>
    <w:rsid w:val="00BE4B29"/>
    <w:rsid w:val="00BE4F7C"/>
    <w:rsid w:val="00BE5270"/>
    <w:rsid w:val="00BE5334"/>
    <w:rsid w:val="00BE59AB"/>
    <w:rsid w:val="00BE6070"/>
    <w:rsid w:val="00BE647F"/>
    <w:rsid w:val="00BE6B02"/>
    <w:rsid w:val="00BE6C66"/>
    <w:rsid w:val="00BE6E03"/>
    <w:rsid w:val="00BE7304"/>
    <w:rsid w:val="00BE7429"/>
    <w:rsid w:val="00BE790A"/>
    <w:rsid w:val="00BE7963"/>
    <w:rsid w:val="00BE7A99"/>
    <w:rsid w:val="00BE7B03"/>
    <w:rsid w:val="00BE7BB0"/>
    <w:rsid w:val="00BF0525"/>
    <w:rsid w:val="00BF0D57"/>
    <w:rsid w:val="00BF0FC7"/>
    <w:rsid w:val="00BF142D"/>
    <w:rsid w:val="00BF1479"/>
    <w:rsid w:val="00BF1CD1"/>
    <w:rsid w:val="00BF2052"/>
    <w:rsid w:val="00BF2246"/>
    <w:rsid w:val="00BF22D1"/>
    <w:rsid w:val="00BF2455"/>
    <w:rsid w:val="00BF263C"/>
    <w:rsid w:val="00BF2661"/>
    <w:rsid w:val="00BF2CCC"/>
    <w:rsid w:val="00BF3165"/>
    <w:rsid w:val="00BF3423"/>
    <w:rsid w:val="00BF3864"/>
    <w:rsid w:val="00BF43C8"/>
    <w:rsid w:val="00BF4564"/>
    <w:rsid w:val="00BF4A40"/>
    <w:rsid w:val="00BF5235"/>
    <w:rsid w:val="00BF52AD"/>
    <w:rsid w:val="00BF5602"/>
    <w:rsid w:val="00BF5739"/>
    <w:rsid w:val="00BF6297"/>
    <w:rsid w:val="00BF6792"/>
    <w:rsid w:val="00BF6D69"/>
    <w:rsid w:val="00BF7134"/>
    <w:rsid w:val="00BF790C"/>
    <w:rsid w:val="00BF7A1B"/>
    <w:rsid w:val="00BF7C48"/>
    <w:rsid w:val="00BF7ECF"/>
    <w:rsid w:val="00C00572"/>
    <w:rsid w:val="00C006BA"/>
    <w:rsid w:val="00C00804"/>
    <w:rsid w:val="00C01112"/>
    <w:rsid w:val="00C012C8"/>
    <w:rsid w:val="00C013CB"/>
    <w:rsid w:val="00C01551"/>
    <w:rsid w:val="00C015E1"/>
    <w:rsid w:val="00C01A11"/>
    <w:rsid w:val="00C01B26"/>
    <w:rsid w:val="00C01F3A"/>
    <w:rsid w:val="00C02020"/>
    <w:rsid w:val="00C0268D"/>
    <w:rsid w:val="00C028EF"/>
    <w:rsid w:val="00C02B9C"/>
    <w:rsid w:val="00C03373"/>
    <w:rsid w:val="00C03452"/>
    <w:rsid w:val="00C034BC"/>
    <w:rsid w:val="00C0370C"/>
    <w:rsid w:val="00C03AFA"/>
    <w:rsid w:val="00C0483C"/>
    <w:rsid w:val="00C048A0"/>
    <w:rsid w:val="00C04C22"/>
    <w:rsid w:val="00C050BD"/>
    <w:rsid w:val="00C05108"/>
    <w:rsid w:val="00C05896"/>
    <w:rsid w:val="00C05DC4"/>
    <w:rsid w:val="00C05DEA"/>
    <w:rsid w:val="00C05E40"/>
    <w:rsid w:val="00C05F72"/>
    <w:rsid w:val="00C062C3"/>
    <w:rsid w:val="00C06723"/>
    <w:rsid w:val="00C06A11"/>
    <w:rsid w:val="00C06B6D"/>
    <w:rsid w:val="00C07070"/>
    <w:rsid w:val="00C078B4"/>
    <w:rsid w:val="00C07A2E"/>
    <w:rsid w:val="00C07BCD"/>
    <w:rsid w:val="00C103E1"/>
    <w:rsid w:val="00C10405"/>
    <w:rsid w:val="00C105B9"/>
    <w:rsid w:val="00C10939"/>
    <w:rsid w:val="00C10F52"/>
    <w:rsid w:val="00C10F58"/>
    <w:rsid w:val="00C11210"/>
    <w:rsid w:val="00C112E8"/>
    <w:rsid w:val="00C1186B"/>
    <w:rsid w:val="00C122EB"/>
    <w:rsid w:val="00C12CB2"/>
    <w:rsid w:val="00C12EC1"/>
    <w:rsid w:val="00C12FF6"/>
    <w:rsid w:val="00C134E4"/>
    <w:rsid w:val="00C137EE"/>
    <w:rsid w:val="00C13A59"/>
    <w:rsid w:val="00C13B2E"/>
    <w:rsid w:val="00C13D59"/>
    <w:rsid w:val="00C13D82"/>
    <w:rsid w:val="00C13FD2"/>
    <w:rsid w:val="00C14053"/>
    <w:rsid w:val="00C14413"/>
    <w:rsid w:val="00C14497"/>
    <w:rsid w:val="00C145A8"/>
    <w:rsid w:val="00C14BD1"/>
    <w:rsid w:val="00C152FF"/>
    <w:rsid w:val="00C15B01"/>
    <w:rsid w:val="00C15B73"/>
    <w:rsid w:val="00C15C5D"/>
    <w:rsid w:val="00C16777"/>
    <w:rsid w:val="00C16C4C"/>
    <w:rsid w:val="00C16D52"/>
    <w:rsid w:val="00C16DE4"/>
    <w:rsid w:val="00C17220"/>
    <w:rsid w:val="00C17314"/>
    <w:rsid w:val="00C17547"/>
    <w:rsid w:val="00C17A28"/>
    <w:rsid w:val="00C17E70"/>
    <w:rsid w:val="00C20036"/>
    <w:rsid w:val="00C2053E"/>
    <w:rsid w:val="00C205E6"/>
    <w:rsid w:val="00C20D32"/>
    <w:rsid w:val="00C20E98"/>
    <w:rsid w:val="00C2189C"/>
    <w:rsid w:val="00C21E30"/>
    <w:rsid w:val="00C226FB"/>
    <w:rsid w:val="00C22E7B"/>
    <w:rsid w:val="00C23B7E"/>
    <w:rsid w:val="00C245D6"/>
    <w:rsid w:val="00C2471E"/>
    <w:rsid w:val="00C248D8"/>
    <w:rsid w:val="00C24AF1"/>
    <w:rsid w:val="00C24B98"/>
    <w:rsid w:val="00C24FF1"/>
    <w:rsid w:val="00C2588D"/>
    <w:rsid w:val="00C25E81"/>
    <w:rsid w:val="00C26F1E"/>
    <w:rsid w:val="00C2714A"/>
    <w:rsid w:val="00C27ACE"/>
    <w:rsid w:val="00C27DA0"/>
    <w:rsid w:val="00C30372"/>
    <w:rsid w:val="00C304ED"/>
    <w:rsid w:val="00C3094A"/>
    <w:rsid w:val="00C30994"/>
    <w:rsid w:val="00C30A90"/>
    <w:rsid w:val="00C3122C"/>
    <w:rsid w:val="00C31895"/>
    <w:rsid w:val="00C31A76"/>
    <w:rsid w:val="00C31E72"/>
    <w:rsid w:val="00C32182"/>
    <w:rsid w:val="00C323DD"/>
    <w:rsid w:val="00C326E0"/>
    <w:rsid w:val="00C32842"/>
    <w:rsid w:val="00C32DF4"/>
    <w:rsid w:val="00C32EAC"/>
    <w:rsid w:val="00C33084"/>
    <w:rsid w:val="00C33E0E"/>
    <w:rsid w:val="00C33F6B"/>
    <w:rsid w:val="00C3438C"/>
    <w:rsid w:val="00C349F6"/>
    <w:rsid w:val="00C34C88"/>
    <w:rsid w:val="00C356A1"/>
    <w:rsid w:val="00C359D9"/>
    <w:rsid w:val="00C35A26"/>
    <w:rsid w:val="00C35B0B"/>
    <w:rsid w:val="00C35CAA"/>
    <w:rsid w:val="00C35E97"/>
    <w:rsid w:val="00C368A5"/>
    <w:rsid w:val="00C4031D"/>
    <w:rsid w:val="00C40862"/>
    <w:rsid w:val="00C40CDF"/>
    <w:rsid w:val="00C40D9B"/>
    <w:rsid w:val="00C40F26"/>
    <w:rsid w:val="00C40FBB"/>
    <w:rsid w:val="00C414F2"/>
    <w:rsid w:val="00C41564"/>
    <w:rsid w:val="00C418CE"/>
    <w:rsid w:val="00C41DC5"/>
    <w:rsid w:val="00C4255C"/>
    <w:rsid w:val="00C429DD"/>
    <w:rsid w:val="00C42CCF"/>
    <w:rsid w:val="00C42FC0"/>
    <w:rsid w:val="00C433FB"/>
    <w:rsid w:val="00C435F0"/>
    <w:rsid w:val="00C4435B"/>
    <w:rsid w:val="00C44669"/>
    <w:rsid w:val="00C44C18"/>
    <w:rsid w:val="00C44C65"/>
    <w:rsid w:val="00C44EF4"/>
    <w:rsid w:val="00C45024"/>
    <w:rsid w:val="00C4596C"/>
    <w:rsid w:val="00C45B39"/>
    <w:rsid w:val="00C45B47"/>
    <w:rsid w:val="00C45CFE"/>
    <w:rsid w:val="00C45E5D"/>
    <w:rsid w:val="00C461BC"/>
    <w:rsid w:val="00C46262"/>
    <w:rsid w:val="00C463CE"/>
    <w:rsid w:val="00C463D1"/>
    <w:rsid w:val="00C46471"/>
    <w:rsid w:val="00C467B8"/>
    <w:rsid w:val="00C46BFC"/>
    <w:rsid w:val="00C46D68"/>
    <w:rsid w:val="00C472BA"/>
    <w:rsid w:val="00C473F2"/>
    <w:rsid w:val="00C47779"/>
    <w:rsid w:val="00C47BA6"/>
    <w:rsid w:val="00C47D86"/>
    <w:rsid w:val="00C47EA6"/>
    <w:rsid w:val="00C5005D"/>
    <w:rsid w:val="00C503DB"/>
    <w:rsid w:val="00C504F9"/>
    <w:rsid w:val="00C505F0"/>
    <w:rsid w:val="00C50A6E"/>
    <w:rsid w:val="00C50BA7"/>
    <w:rsid w:val="00C50C29"/>
    <w:rsid w:val="00C50E10"/>
    <w:rsid w:val="00C50EC3"/>
    <w:rsid w:val="00C512AF"/>
    <w:rsid w:val="00C513AA"/>
    <w:rsid w:val="00C5143B"/>
    <w:rsid w:val="00C518C9"/>
    <w:rsid w:val="00C51919"/>
    <w:rsid w:val="00C51E2C"/>
    <w:rsid w:val="00C52846"/>
    <w:rsid w:val="00C52A32"/>
    <w:rsid w:val="00C52A89"/>
    <w:rsid w:val="00C52E28"/>
    <w:rsid w:val="00C52F3E"/>
    <w:rsid w:val="00C532D5"/>
    <w:rsid w:val="00C533E9"/>
    <w:rsid w:val="00C539D6"/>
    <w:rsid w:val="00C53AD8"/>
    <w:rsid w:val="00C53CA8"/>
    <w:rsid w:val="00C5406B"/>
    <w:rsid w:val="00C540D9"/>
    <w:rsid w:val="00C541FB"/>
    <w:rsid w:val="00C5443C"/>
    <w:rsid w:val="00C544E5"/>
    <w:rsid w:val="00C54678"/>
    <w:rsid w:val="00C54E29"/>
    <w:rsid w:val="00C54EBF"/>
    <w:rsid w:val="00C55A5E"/>
    <w:rsid w:val="00C55C57"/>
    <w:rsid w:val="00C55EB7"/>
    <w:rsid w:val="00C55FAF"/>
    <w:rsid w:val="00C56202"/>
    <w:rsid w:val="00C569A9"/>
    <w:rsid w:val="00C56E74"/>
    <w:rsid w:val="00C57358"/>
    <w:rsid w:val="00C5736E"/>
    <w:rsid w:val="00C57C23"/>
    <w:rsid w:val="00C57C27"/>
    <w:rsid w:val="00C57CE8"/>
    <w:rsid w:val="00C601F0"/>
    <w:rsid w:val="00C60239"/>
    <w:rsid w:val="00C602E7"/>
    <w:rsid w:val="00C60900"/>
    <w:rsid w:val="00C60E10"/>
    <w:rsid w:val="00C60EA5"/>
    <w:rsid w:val="00C60FCA"/>
    <w:rsid w:val="00C61020"/>
    <w:rsid w:val="00C614BB"/>
    <w:rsid w:val="00C61A2A"/>
    <w:rsid w:val="00C61A7E"/>
    <w:rsid w:val="00C61A83"/>
    <w:rsid w:val="00C61BF2"/>
    <w:rsid w:val="00C61F8A"/>
    <w:rsid w:val="00C62003"/>
    <w:rsid w:val="00C62366"/>
    <w:rsid w:val="00C6247C"/>
    <w:rsid w:val="00C62603"/>
    <w:rsid w:val="00C629AE"/>
    <w:rsid w:val="00C62B9C"/>
    <w:rsid w:val="00C633EB"/>
    <w:rsid w:val="00C6364B"/>
    <w:rsid w:val="00C637A3"/>
    <w:rsid w:val="00C63A21"/>
    <w:rsid w:val="00C63F48"/>
    <w:rsid w:val="00C643C3"/>
    <w:rsid w:val="00C64664"/>
    <w:rsid w:val="00C64D8E"/>
    <w:rsid w:val="00C65607"/>
    <w:rsid w:val="00C65DA1"/>
    <w:rsid w:val="00C65ECC"/>
    <w:rsid w:val="00C6614C"/>
    <w:rsid w:val="00C66BC1"/>
    <w:rsid w:val="00C671C5"/>
    <w:rsid w:val="00C6796D"/>
    <w:rsid w:val="00C67A72"/>
    <w:rsid w:val="00C67B5F"/>
    <w:rsid w:val="00C67CC7"/>
    <w:rsid w:val="00C70393"/>
    <w:rsid w:val="00C703C2"/>
    <w:rsid w:val="00C7060D"/>
    <w:rsid w:val="00C70932"/>
    <w:rsid w:val="00C70A76"/>
    <w:rsid w:val="00C70D01"/>
    <w:rsid w:val="00C70E48"/>
    <w:rsid w:val="00C713EF"/>
    <w:rsid w:val="00C71815"/>
    <w:rsid w:val="00C7196F"/>
    <w:rsid w:val="00C71C1F"/>
    <w:rsid w:val="00C71D3E"/>
    <w:rsid w:val="00C71FD6"/>
    <w:rsid w:val="00C72418"/>
    <w:rsid w:val="00C724AE"/>
    <w:rsid w:val="00C72692"/>
    <w:rsid w:val="00C73620"/>
    <w:rsid w:val="00C73AD3"/>
    <w:rsid w:val="00C73F5E"/>
    <w:rsid w:val="00C74285"/>
    <w:rsid w:val="00C74481"/>
    <w:rsid w:val="00C74655"/>
    <w:rsid w:val="00C7478C"/>
    <w:rsid w:val="00C74A76"/>
    <w:rsid w:val="00C74D22"/>
    <w:rsid w:val="00C750F1"/>
    <w:rsid w:val="00C752B7"/>
    <w:rsid w:val="00C757F0"/>
    <w:rsid w:val="00C75812"/>
    <w:rsid w:val="00C758FF"/>
    <w:rsid w:val="00C75AD7"/>
    <w:rsid w:val="00C75CFC"/>
    <w:rsid w:val="00C7665D"/>
    <w:rsid w:val="00C766E5"/>
    <w:rsid w:val="00C76C8E"/>
    <w:rsid w:val="00C7717B"/>
    <w:rsid w:val="00C776A8"/>
    <w:rsid w:val="00C805DB"/>
    <w:rsid w:val="00C80652"/>
    <w:rsid w:val="00C8078A"/>
    <w:rsid w:val="00C809F1"/>
    <w:rsid w:val="00C817E6"/>
    <w:rsid w:val="00C81A49"/>
    <w:rsid w:val="00C8222D"/>
    <w:rsid w:val="00C828B6"/>
    <w:rsid w:val="00C82956"/>
    <w:rsid w:val="00C82CE6"/>
    <w:rsid w:val="00C83050"/>
    <w:rsid w:val="00C833F1"/>
    <w:rsid w:val="00C83770"/>
    <w:rsid w:val="00C8379D"/>
    <w:rsid w:val="00C83B1E"/>
    <w:rsid w:val="00C83CCA"/>
    <w:rsid w:val="00C83D7D"/>
    <w:rsid w:val="00C83DD4"/>
    <w:rsid w:val="00C840B0"/>
    <w:rsid w:val="00C847AE"/>
    <w:rsid w:val="00C84885"/>
    <w:rsid w:val="00C84F39"/>
    <w:rsid w:val="00C85253"/>
    <w:rsid w:val="00C859FF"/>
    <w:rsid w:val="00C85CB4"/>
    <w:rsid w:val="00C85D80"/>
    <w:rsid w:val="00C85F2E"/>
    <w:rsid w:val="00C863AA"/>
    <w:rsid w:val="00C86FEA"/>
    <w:rsid w:val="00C874EE"/>
    <w:rsid w:val="00C87579"/>
    <w:rsid w:val="00C87654"/>
    <w:rsid w:val="00C87DC5"/>
    <w:rsid w:val="00C87EFE"/>
    <w:rsid w:val="00C90682"/>
    <w:rsid w:val="00C9093D"/>
    <w:rsid w:val="00C9094F"/>
    <w:rsid w:val="00C91069"/>
    <w:rsid w:val="00C91236"/>
    <w:rsid w:val="00C91394"/>
    <w:rsid w:val="00C91552"/>
    <w:rsid w:val="00C9233C"/>
    <w:rsid w:val="00C923C3"/>
    <w:rsid w:val="00C924F1"/>
    <w:rsid w:val="00C92589"/>
    <w:rsid w:val="00C92597"/>
    <w:rsid w:val="00C92BF4"/>
    <w:rsid w:val="00C92D06"/>
    <w:rsid w:val="00C93254"/>
    <w:rsid w:val="00C935BA"/>
    <w:rsid w:val="00C939D1"/>
    <w:rsid w:val="00C93F2F"/>
    <w:rsid w:val="00C9452C"/>
    <w:rsid w:val="00C945F7"/>
    <w:rsid w:val="00C9463B"/>
    <w:rsid w:val="00C94752"/>
    <w:rsid w:val="00C949C4"/>
    <w:rsid w:val="00C94E7B"/>
    <w:rsid w:val="00C9583B"/>
    <w:rsid w:val="00C95AA7"/>
    <w:rsid w:val="00C95BAF"/>
    <w:rsid w:val="00C95CB6"/>
    <w:rsid w:val="00C95F49"/>
    <w:rsid w:val="00C96272"/>
    <w:rsid w:val="00C963F7"/>
    <w:rsid w:val="00C9649B"/>
    <w:rsid w:val="00C96732"/>
    <w:rsid w:val="00C96AB0"/>
    <w:rsid w:val="00C96DDD"/>
    <w:rsid w:val="00C97A5A"/>
    <w:rsid w:val="00C97DC0"/>
    <w:rsid w:val="00CA00AA"/>
    <w:rsid w:val="00CA08C3"/>
    <w:rsid w:val="00CA0A90"/>
    <w:rsid w:val="00CA0E6E"/>
    <w:rsid w:val="00CA0ECE"/>
    <w:rsid w:val="00CA116A"/>
    <w:rsid w:val="00CA11B5"/>
    <w:rsid w:val="00CA11D9"/>
    <w:rsid w:val="00CA1659"/>
    <w:rsid w:val="00CA1A4B"/>
    <w:rsid w:val="00CA1BD2"/>
    <w:rsid w:val="00CA1C31"/>
    <w:rsid w:val="00CA21F0"/>
    <w:rsid w:val="00CA27C3"/>
    <w:rsid w:val="00CA2935"/>
    <w:rsid w:val="00CA2D6E"/>
    <w:rsid w:val="00CA30D2"/>
    <w:rsid w:val="00CA319D"/>
    <w:rsid w:val="00CA4987"/>
    <w:rsid w:val="00CA4F98"/>
    <w:rsid w:val="00CA4FF1"/>
    <w:rsid w:val="00CA54E3"/>
    <w:rsid w:val="00CA5503"/>
    <w:rsid w:val="00CA5A56"/>
    <w:rsid w:val="00CA5FCA"/>
    <w:rsid w:val="00CA60D0"/>
    <w:rsid w:val="00CA626C"/>
    <w:rsid w:val="00CA64C7"/>
    <w:rsid w:val="00CA671E"/>
    <w:rsid w:val="00CA6818"/>
    <w:rsid w:val="00CA6CD8"/>
    <w:rsid w:val="00CA70C0"/>
    <w:rsid w:val="00CA76F8"/>
    <w:rsid w:val="00CA7895"/>
    <w:rsid w:val="00CA7B4F"/>
    <w:rsid w:val="00CA7D3F"/>
    <w:rsid w:val="00CA7EA8"/>
    <w:rsid w:val="00CB05B9"/>
    <w:rsid w:val="00CB0689"/>
    <w:rsid w:val="00CB08F7"/>
    <w:rsid w:val="00CB18E0"/>
    <w:rsid w:val="00CB2764"/>
    <w:rsid w:val="00CB29DC"/>
    <w:rsid w:val="00CB2AF5"/>
    <w:rsid w:val="00CB2BD0"/>
    <w:rsid w:val="00CB2D5E"/>
    <w:rsid w:val="00CB37C6"/>
    <w:rsid w:val="00CB3B62"/>
    <w:rsid w:val="00CB3FC7"/>
    <w:rsid w:val="00CB49CD"/>
    <w:rsid w:val="00CB4E5F"/>
    <w:rsid w:val="00CB5252"/>
    <w:rsid w:val="00CB628C"/>
    <w:rsid w:val="00CB6E78"/>
    <w:rsid w:val="00CB6ECD"/>
    <w:rsid w:val="00CB727F"/>
    <w:rsid w:val="00CB73C6"/>
    <w:rsid w:val="00CB7B85"/>
    <w:rsid w:val="00CB7E14"/>
    <w:rsid w:val="00CC04F8"/>
    <w:rsid w:val="00CC0507"/>
    <w:rsid w:val="00CC088B"/>
    <w:rsid w:val="00CC0C89"/>
    <w:rsid w:val="00CC0D66"/>
    <w:rsid w:val="00CC127B"/>
    <w:rsid w:val="00CC12EE"/>
    <w:rsid w:val="00CC1688"/>
    <w:rsid w:val="00CC1765"/>
    <w:rsid w:val="00CC1871"/>
    <w:rsid w:val="00CC1ACB"/>
    <w:rsid w:val="00CC1C56"/>
    <w:rsid w:val="00CC1C72"/>
    <w:rsid w:val="00CC2026"/>
    <w:rsid w:val="00CC2361"/>
    <w:rsid w:val="00CC2F15"/>
    <w:rsid w:val="00CC2F17"/>
    <w:rsid w:val="00CC3334"/>
    <w:rsid w:val="00CC34FC"/>
    <w:rsid w:val="00CC3515"/>
    <w:rsid w:val="00CC36B7"/>
    <w:rsid w:val="00CC38D7"/>
    <w:rsid w:val="00CC3912"/>
    <w:rsid w:val="00CC39DD"/>
    <w:rsid w:val="00CC3CEC"/>
    <w:rsid w:val="00CC3F03"/>
    <w:rsid w:val="00CC4286"/>
    <w:rsid w:val="00CC468B"/>
    <w:rsid w:val="00CC4855"/>
    <w:rsid w:val="00CC49CD"/>
    <w:rsid w:val="00CC4CF1"/>
    <w:rsid w:val="00CC4E06"/>
    <w:rsid w:val="00CC53A5"/>
    <w:rsid w:val="00CC5407"/>
    <w:rsid w:val="00CC57F9"/>
    <w:rsid w:val="00CC59DE"/>
    <w:rsid w:val="00CC5EC3"/>
    <w:rsid w:val="00CC61BA"/>
    <w:rsid w:val="00CC6B4D"/>
    <w:rsid w:val="00CC7353"/>
    <w:rsid w:val="00CC73BC"/>
    <w:rsid w:val="00CC78AA"/>
    <w:rsid w:val="00CC7D29"/>
    <w:rsid w:val="00CC7EFF"/>
    <w:rsid w:val="00CD0595"/>
    <w:rsid w:val="00CD156C"/>
    <w:rsid w:val="00CD162D"/>
    <w:rsid w:val="00CD16BF"/>
    <w:rsid w:val="00CD1A93"/>
    <w:rsid w:val="00CD260A"/>
    <w:rsid w:val="00CD261E"/>
    <w:rsid w:val="00CD2675"/>
    <w:rsid w:val="00CD3114"/>
    <w:rsid w:val="00CD3200"/>
    <w:rsid w:val="00CD33D6"/>
    <w:rsid w:val="00CD3671"/>
    <w:rsid w:val="00CD3975"/>
    <w:rsid w:val="00CD3DDD"/>
    <w:rsid w:val="00CD40E1"/>
    <w:rsid w:val="00CD42A8"/>
    <w:rsid w:val="00CD437A"/>
    <w:rsid w:val="00CD440F"/>
    <w:rsid w:val="00CD4626"/>
    <w:rsid w:val="00CD491C"/>
    <w:rsid w:val="00CD4DA4"/>
    <w:rsid w:val="00CD525B"/>
    <w:rsid w:val="00CD5ACA"/>
    <w:rsid w:val="00CD5C67"/>
    <w:rsid w:val="00CD6541"/>
    <w:rsid w:val="00CD65BA"/>
    <w:rsid w:val="00CD6C54"/>
    <w:rsid w:val="00CD6F96"/>
    <w:rsid w:val="00CD72A3"/>
    <w:rsid w:val="00CD7669"/>
    <w:rsid w:val="00CD76EA"/>
    <w:rsid w:val="00CD7939"/>
    <w:rsid w:val="00CD7948"/>
    <w:rsid w:val="00CE0125"/>
    <w:rsid w:val="00CE05B2"/>
    <w:rsid w:val="00CE05E5"/>
    <w:rsid w:val="00CE0837"/>
    <w:rsid w:val="00CE0940"/>
    <w:rsid w:val="00CE09FC"/>
    <w:rsid w:val="00CE1413"/>
    <w:rsid w:val="00CE27AB"/>
    <w:rsid w:val="00CE2809"/>
    <w:rsid w:val="00CE2C1C"/>
    <w:rsid w:val="00CE2C90"/>
    <w:rsid w:val="00CE2CFD"/>
    <w:rsid w:val="00CE318C"/>
    <w:rsid w:val="00CE3494"/>
    <w:rsid w:val="00CE377E"/>
    <w:rsid w:val="00CE3C7B"/>
    <w:rsid w:val="00CE3C91"/>
    <w:rsid w:val="00CE3CD6"/>
    <w:rsid w:val="00CE3FD1"/>
    <w:rsid w:val="00CE4796"/>
    <w:rsid w:val="00CE4E63"/>
    <w:rsid w:val="00CE5C5D"/>
    <w:rsid w:val="00CE5DB8"/>
    <w:rsid w:val="00CE5F9E"/>
    <w:rsid w:val="00CE6179"/>
    <w:rsid w:val="00CE626B"/>
    <w:rsid w:val="00CE6532"/>
    <w:rsid w:val="00CE66B8"/>
    <w:rsid w:val="00CE6D76"/>
    <w:rsid w:val="00CE6EA4"/>
    <w:rsid w:val="00CE6EA6"/>
    <w:rsid w:val="00CE706F"/>
    <w:rsid w:val="00CE708A"/>
    <w:rsid w:val="00CE71EA"/>
    <w:rsid w:val="00CE72C5"/>
    <w:rsid w:val="00CE77D1"/>
    <w:rsid w:val="00CE7C3F"/>
    <w:rsid w:val="00CE7D37"/>
    <w:rsid w:val="00CE7D60"/>
    <w:rsid w:val="00CF046E"/>
    <w:rsid w:val="00CF0B1D"/>
    <w:rsid w:val="00CF0B21"/>
    <w:rsid w:val="00CF0E27"/>
    <w:rsid w:val="00CF0FA2"/>
    <w:rsid w:val="00CF169E"/>
    <w:rsid w:val="00CF2187"/>
    <w:rsid w:val="00CF225F"/>
    <w:rsid w:val="00CF2489"/>
    <w:rsid w:val="00CF24D7"/>
    <w:rsid w:val="00CF25E0"/>
    <w:rsid w:val="00CF2993"/>
    <w:rsid w:val="00CF2A32"/>
    <w:rsid w:val="00CF2BC9"/>
    <w:rsid w:val="00CF2DEC"/>
    <w:rsid w:val="00CF2ECD"/>
    <w:rsid w:val="00CF30DA"/>
    <w:rsid w:val="00CF342D"/>
    <w:rsid w:val="00CF35FE"/>
    <w:rsid w:val="00CF4023"/>
    <w:rsid w:val="00CF469F"/>
    <w:rsid w:val="00CF47C9"/>
    <w:rsid w:val="00CF488C"/>
    <w:rsid w:val="00CF49A1"/>
    <w:rsid w:val="00CF50D7"/>
    <w:rsid w:val="00CF55D9"/>
    <w:rsid w:val="00CF57F8"/>
    <w:rsid w:val="00CF5FFE"/>
    <w:rsid w:val="00CF6655"/>
    <w:rsid w:val="00CF6682"/>
    <w:rsid w:val="00CF6AD4"/>
    <w:rsid w:val="00CF7015"/>
    <w:rsid w:val="00CF7229"/>
    <w:rsid w:val="00CF7503"/>
    <w:rsid w:val="00CF7A09"/>
    <w:rsid w:val="00CF7C9E"/>
    <w:rsid w:val="00CF7EEA"/>
    <w:rsid w:val="00CF7F07"/>
    <w:rsid w:val="00CF7F0F"/>
    <w:rsid w:val="00D00614"/>
    <w:rsid w:val="00D011F1"/>
    <w:rsid w:val="00D011FB"/>
    <w:rsid w:val="00D0148C"/>
    <w:rsid w:val="00D01920"/>
    <w:rsid w:val="00D019D5"/>
    <w:rsid w:val="00D01BF0"/>
    <w:rsid w:val="00D01F9E"/>
    <w:rsid w:val="00D022F3"/>
    <w:rsid w:val="00D0238A"/>
    <w:rsid w:val="00D02452"/>
    <w:rsid w:val="00D0285F"/>
    <w:rsid w:val="00D02A2A"/>
    <w:rsid w:val="00D02C75"/>
    <w:rsid w:val="00D03181"/>
    <w:rsid w:val="00D0350B"/>
    <w:rsid w:val="00D0370F"/>
    <w:rsid w:val="00D037F3"/>
    <w:rsid w:val="00D03815"/>
    <w:rsid w:val="00D03FD7"/>
    <w:rsid w:val="00D044F9"/>
    <w:rsid w:val="00D0454C"/>
    <w:rsid w:val="00D04A8E"/>
    <w:rsid w:val="00D04B2F"/>
    <w:rsid w:val="00D04FFE"/>
    <w:rsid w:val="00D0513A"/>
    <w:rsid w:val="00D05191"/>
    <w:rsid w:val="00D05235"/>
    <w:rsid w:val="00D05437"/>
    <w:rsid w:val="00D05739"/>
    <w:rsid w:val="00D058D5"/>
    <w:rsid w:val="00D05ADC"/>
    <w:rsid w:val="00D06091"/>
    <w:rsid w:val="00D06259"/>
    <w:rsid w:val="00D06715"/>
    <w:rsid w:val="00D06BF8"/>
    <w:rsid w:val="00D07304"/>
    <w:rsid w:val="00D0749B"/>
    <w:rsid w:val="00D076A1"/>
    <w:rsid w:val="00D0788B"/>
    <w:rsid w:val="00D0794D"/>
    <w:rsid w:val="00D07D7E"/>
    <w:rsid w:val="00D07F50"/>
    <w:rsid w:val="00D07F91"/>
    <w:rsid w:val="00D105A5"/>
    <w:rsid w:val="00D10FE2"/>
    <w:rsid w:val="00D1135E"/>
    <w:rsid w:val="00D11472"/>
    <w:rsid w:val="00D11F57"/>
    <w:rsid w:val="00D12148"/>
    <w:rsid w:val="00D122FB"/>
    <w:rsid w:val="00D12306"/>
    <w:rsid w:val="00D128A6"/>
    <w:rsid w:val="00D128E2"/>
    <w:rsid w:val="00D12A59"/>
    <w:rsid w:val="00D12DA1"/>
    <w:rsid w:val="00D130C8"/>
    <w:rsid w:val="00D1380F"/>
    <w:rsid w:val="00D14008"/>
    <w:rsid w:val="00D14D13"/>
    <w:rsid w:val="00D14E21"/>
    <w:rsid w:val="00D16487"/>
    <w:rsid w:val="00D167B1"/>
    <w:rsid w:val="00D167E5"/>
    <w:rsid w:val="00D16A71"/>
    <w:rsid w:val="00D16BFF"/>
    <w:rsid w:val="00D17613"/>
    <w:rsid w:val="00D176F4"/>
    <w:rsid w:val="00D17C05"/>
    <w:rsid w:val="00D17F70"/>
    <w:rsid w:val="00D201F2"/>
    <w:rsid w:val="00D20968"/>
    <w:rsid w:val="00D20C3E"/>
    <w:rsid w:val="00D20C44"/>
    <w:rsid w:val="00D20DE4"/>
    <w:rsid w:val="00D20E4D"/>
    <w:rsid w:val="00D219AD"/>
    <w:rsid w:val="00D21B5A"/>
    <w:rsid w:val="00D21B9D"/>
    <w:rsid w:val="00D21DEE"/>
    <w:rsid w:val="00D21E94"/>
    <w:rsid w:val="00D220E9"/>
    <w:rsid w:val="00D221AF"/>
    <w:rsid w:val="00D2223A"/>
    <w:rsid w:val="00D22364"/>
    <w:rsid w:val="00D22515"/>
    <w:rsid w:val="00D2261B"/>
    <w:rsid w:val="00D22812"/>
    <w:rsid w:val="00D22CF5"/>
    <w:rsid w:val="00D240D9"/>
    <w:rsid w:val="00D24106"/>
    <w:rsid w:val="00D24158"/>
    <w:rsid w:val="00D24C13"/>
    <w:rsid w:val="00D250DA"/>
    <w:rsid w:val="00D2520E"/>
    <w:rsid w:val="00D2522D"/>
    <w:rsid w:val="00D254EB"/>
    <w:rsid w:val="00D25600"/>
    <w:rsid w:val="00D26F66"/>
    <w:rsid w:val="00D27264"/>
    <w:rsid w:val="00D27274"/>
    <w:rsid w:val="00D274C0"/>
    <w:rsid w:val="00D2765D"/>
    <w:rsid w:val="00D27CB4"/>
    <w:rsid w:val="00D306BF"/>
    <w:rsid w:val="00D307FA"/>
    <w:rsid w:val="00D30830"/>
    <w:rsid w:val="00D30ABD"/>
    <w:rsid w:val="00D30C5A"/>
    <w:rsid w:val="00D3103C"/>
    <w:rsid w:val="00D3147F"/>
    <w:rsid w:val="00D31759"/>
    <w:rsid w:val="00D31850"/>
    <w:rsid w:val="00D31915"/>
    <w:rsid w:val="00D31DC2"/>
    <w:rsid w:val="00D31E8A"/>
    <w:rsid w:val="00D31FE5"/>
    <w:rsid w:val="00D32586"/>
    <w:rsid w:val="00D326D1"/>
    <w:rsid w:val="00D32874"/>
    <w:rsid w:val="00D32876"/>
    <w:rsid w:val="00D32ED0"/>
    <w:rsid w:val="00D33027"/>
    <w:rsid w:val="00D335C8"/>
    <w:rsid w:val="00D33BC5"/>
    <w:rsid w:val="00D33BD5"/>
    <w:rsid w:val="00D33F6F"/>
    <w:rsid w:val="00D34487"/>
    <w:rsid w:val="00D34635"/>
    <w:rsid w:val="00D34BE8"/>
    <w:rsid w:val="00D35263"/>
    <w:rsid w:val="00D353F1"/>
    <w:rsid w:val="00D35479"/>
    <w:rsid w:val="00D355BE"/>
    <w:rsid w:val="00D35712"/>
    <w:rsid w:val="00D3586C"/>
    <w:rsid w:val="00D35A65"/>
    <w:rsid w:val="00D35D5E"/>
    <w:rsid w:val="00D35DD7"/>
    <w:rsid w:val="00D362B4"/>
    <w:rsid w:val="00D3634B"/>
    <w:rsid w:val="00D367DB"/>
    <w:rsid w:val="00D369E1"/>
    <w:rsid w:val="00D37313"/>
    <w:rsid w:val="00D37A7E"/>
    <w:rsid w:val="00D40081"/>
    <w:rsid w:val="00D40641"/>
    <w:rsid w:val="00D407B2"/>
    <w:rsid w:val="00D40B38"/>
    <w:rsid w:val="00D40CF9"/>
    <w:rsid w:val="00D41A24"/>
    <w:rsid w:val="00D41C3C"/>
    <w:rsid w:val="00D42219"/>
    <w:rsid w:val="00D42253"/>
    <w:rsid w:val="00D422C9"/>
    <w:rsid w:val="00D42779"/>
    <w:rsid w:val="00D42AB8"/>
    <w:rsid w:val="00D42E71"/>
    <w:rsid w:val="00D42F90"/>
    <w:rsid w:val="00D434F3"/>
    <w:rsid w:val="00D43A13"/>
    <w:rsid w:val="00D43B13"/>
    <w:rsid w:val="00D43B5F"/>
    <w:rsid w:val="00D442BF"/>
    <w:rsid w:val="00D442DA"/>
    <w:rsid w:val="00D443D0"/>
    <w:rsid w:val="00D445B7"/>
    <w:rsid w:val="00D44634"/>
    <w:rsid w:val="00D44742"/>
    <w:rsid w:val="00D44772"/>
    <w:rsid w:val="00D45030"/>
    <w:rsid w:val="00D45379"/>
    <w:rsid w:val="00D4537E"/>
    <w:rsid w:val="00D453BD"/>
    <w:rsid w:val="00D458FE"/>
    <w:rsid w:val="00D45AAD"/>
    <w:rsid w:val="00D45ACF"/>
    <w:rsid w:val="00D4607D"/>
    <w:rsid w:val="00D460CF"/>
    <w:rsid w:val="00D46343"/>
    <w:rsid w:val="00D467D9"/>
    <w:rsid w:val="00D46842"/>
    <w:rsid w:val="00D46B4A"/>
    <w:rsid w:val="00D46F5D"/>
    <w:rsid w:val="00D4706C"/>
    <w:rsid w:val="00D47107"/>
    <w:rsid w:val="00D47466"/>
    <w:rsid w:val="00D474F4"/>
    <w:rsid w:val="00D47874"/>
    <w:rsid w:val="00D47AC5"/>
    <w:rsid w:val="00D50446"/>
    <w:rsid w:val="00D50458"/>
    <w:rsid w:val="00D51236"/>
    <w:rsid w:val="00D5126C"/>
    <w:rsid w:val="00D51475"/>
    <w:rsid w:val="00D51A41"/>
    <w:rsid w:val="00D51A82"/>
    <w:rsid w:val="00D51C37"/>
    <w:rsid w:val="00D51FC7"/>
    <w:rsid w:val="00D5255B"/>
    <w:rsid w:val="00D52830"/>
    <w:rsid w:val="00D528BB"/>
    <w:rsid w:val="00D52B34"/>
    <w:rsid w:val="00D5348F"/>
    <w:rsid w:val="00D5378A"/>
    <w:rsid w:val="00D53ECE"/>
    <w:rsid w:val="00D5401C"/>
    <w:rsid w:val="00D54248"/>
    <w:rsid w:val="00D54574"/>
    <w:rsid w:val="00D5474F"/>
    <w:rsid w:val="00D547CC"/>
    <w:rsid w:val="00D5495A"/>
    <w:rsid w:val="00D54CF6"/>
    <w:rsid w:val="00D54D01"/>
    <w:rsid w:val="00D55831"/>
    <w:rsid w:val="00D55A8C"/>
    <w:rsid w:val="00D55DFE"/>
    <w:rsid w:val="00D55FCF"/>
    <w:rsid w:val="00D56C33"/>
    <w:rsid w:val="00D56D1E"/>
    <w:rsid w:val="00D56EB4"/>
    <w:rsid w:val="00D571D3"/>
    <w:rsid w:val="00D57484"/>
    <w:rsid w:val="00D577B5"/>
    <w:rsid w:val="00D57911"/>
    <w:rsid w:val="00D57D82"/>
    <w:rsid w:val="00D606B0"/>
    <w:rsid w:val="00D60787"/>
    <w:rsid w:val="00D60C11"/>
    <w:rsid w:val="00D61866"/>
    <w:rsid w:val="00D618C2"/>
    <w:rsid w:val="00D618D0"/>
    <w:rsid w:val="00D61D29"/>
    <w:rsid w:val="00D62071"/>
    <w:rsid w:val="00D62206"/>
    <w:rsid w:val="00D623EF"/>
    <w:rsid w:val="00D6266F"/>
    <w:rsid w:val="00D62822"/>
    <w:rsid w:val="00D635ED"/>
    <w:rsid w:val="00D637C7"/>
    <w:rsid w:val="00D637CF"/>
    <w:rsid w:val="00D640B8"/>
    <w:rsid w:val="00D64D4D"/>
    <w:rsid w:val="00D6570E"/>
    <w:rsid w:val="00D6652E"/>
    <w:rsid w:val="00D6671F"/>
    <w:rsid w:val="00D66A79"/>
    <w:rsid w:val="00D66BD4"/>
    <w:rsid w:val="00D66C48"/>
    <w:rsid w:val="00D66FA3"/>
    <w:rsid w:val="00D67032"/>
    <w:rsid w:val="00D670BD"/>
    <w:rsid w:val="00D67812"/>
    <w:rsid w:val="00D67BAB"/>
    <w:rsid w:val="00D67DA4"/>
    <w:rsid w:val="00D7013D"/>
    <w:rsid w:val="00D7021F"/>
    <w:rsid w:val="00D70479"/>
    <w:rsid w:val="00D706F9"/>
    <w:rsid w:val="00D7082B"/>
    <w:rsid w:val="00D70C72"/>
    <w:rsid w:val="00D71342"/>
    <w:rsid w:val="00D7148B"/>
    <w:rsid w:val="00D7157B"/>
    <w:rsid w:val="00D71DE6"/>
    <w:rsid w:val="00D71E08"/>
    <w:rsid w:val="00D72C49"/>
    <w:rsid w:val="00D72DB5"/>
    <w:rsid w:val="00D734DC"/>
    <w:rsid w:val="00D73C41"/>
    <w:rsid w:val="00D73D3D"/>
    <w:rsid w:val="00D73F8D"/>
    <w:rsid w:val="00D74413"/>
    <w:rsid w:val="00D74541"/>
    <w:rsid w:val="00D745C7"/>
    <w:rsid w:val="00D74809"/>
    <w:rsid w:val="00D748A5"/>
    <w:rsid w:val="00D74AC7"/>
    <w:rsid w:val="00D74F6E"/>
    <w:rsid w:val="00D74FBE"/>
    <w:rsid w:val="00D75883"/>
    <w:rsid w:val="00D758F5"/>
    <w:rsid w:val="00D7597E"/>
    <w:rsid w:val="00D75EBF"/>
    <w:rsid w:val="00D75EF2"/>
    <w:rsid w:val="00D761FB"/>
    <w:rsid w:val="00D76368"/>
    <w:rsid w:val="00D769C0"/>
    <w:rsid w:val="00D76ABE"/>
    <w:rsid w:val="00D7724E"/>
    <w:rsid w:val="00D779B3"/>
    <w:rsid w:val="00D77B08"/>
    <w:rsid w:val="00D77E93"/>
    <w:rsid w:val="00D77F6E"/>
    <w:rsid w:val="00D80C49"/>
    <w:rsid w:val="00D810F6"/>
    <w:rsid w:val="00D812C8"/>
    <w:rsid w:val="00D81365"/>
    <w:rsid w:val="00D8137B"/>
    <w:rsid w:val="00D81841"/>
    <w:rsid w:val="00D824F4"/>
    <w:rsid w:val="00D82569"/>
    <w:rsid w:val="00D8279D"/>
    <w:rsid w:val="00D82EC7"/>
    <w:rsid w:val="00D82F38"/>
    <w:rsid w:val="00D839E2"/>
    <w:rsid w:val="00D84072"/>
    <w:rsid w:val="00D847B7"/>
    <w:rsid w:val="00D84D08"/>
    <w:rsid w:val="00D84DA6"/>
    <w:rsid w:val="00D84FAC"/>
    <w:rsid w:val="00D8501D"/>
    <w:rsid w:val="00D85337"/>
    <w:rsid w:val="00D855A4"/>
    <w:rsid w:val="00D855D6"/>
    <w:rsid w:val="00D8598F"/>
    <w:rsid w:val="00D85B3A"/>
    <w:rsid w:val="00D86693"/>
    <w:rsid w:val="00D86BEC"/>
    <w:rsid w:val="00D87030"/>
    <w:rsid w:val="00D870A2"/>
    <w:rsid w:val="00D872DC"/>
    <w:rsid w:val="00D87321"/>
    <w:rsid w:val="00D875D0"/>
    <w:rsid w:val="00D87BFE"/>
    <w:rsid w:val="00D87D09"/>
    <w:rsid w:val="00D87FE1"/>
    <w:rsid w:val="00D90258"/>
    <w:rsid w:val="00D90321"/>
    <w:rsid w:val="00D904AC"/>
    <w:rsid w:val="00D90510"/>
    <w:rsid w:val="00D907F5"/>
    <w:rsid w:val="00D90842"/>
    <w:rsid w:val="00D90E13"/>
    <w:rsid w:val="00D90E42"/>
    <w:rsid w:val="00D90E50"/>
    <w:rsid w:val="00D90FCB"/>
    <w:rsid w:val="00D911C8"/>
    <w:rsid w:val="00D91259"/>
    <w:rsid w:val="00D9165A"/>
    <w:rsid w:val="00D91775"/>
    <w:rsid w:val="00D91945"/>
    <w:rsid w:val="00D91A56"/>
    <w:rsid w:val="00D91AF3"/>
    <w:rsid w:val="00D91D00"/>
    <w:rsid w:val="00D9227F"/>
    <w:rsid w:val="00D923CF"/>
    <w:rsid w:val="00D9280F"/>
    <w:rsid w:val="00D92E64"/>
    <w:rsid w:val="00D92ED0"/>
    <w:rsid w:val="00D9306C"/>
    <w:rsid w:val="00D936E5"/>
    <w:rsid w:val="00D93E25"/>
    <w:rsid w:val="00D941B8"/>
    <w:rsid w:val="00D94398"/>
    <w:rsid w:val="00D94857"/>
    <w:rsid w:val="00D94929"/>
    <w:rsid w:val="00D94A34"/>
    <w:rsid w:val="00D94D0C"/>
    <w:rsid w:val="00D94DCD"/>
    <w:rsid w:val="00D94ECA"/>
    <w:rsid w:val="00D94EEC"/>
    <w:rsid w:val="00D95145"/>
    <w:rsid w:val="00D95213"/>
    <w:rsid w:val="00D95EF7"/>
    <w:rsid w:val="00D96FD3"/>
    <w:rsid w:val="00D972FD"/>
    <w:rsid w:val="00D97354"/>
    <w:rsid w:val="00D97482"/>
    <w:rsid w:val="00D975B3"/>
    <w:rsid w:val="00D97627"/>
    <w:rsid w:val="00D97942"/>
    <w:rsid w:val="00D9796D"/>
    <w:rsid w:val="00D97973"/>
    <w:rsid w:val="00D97BE8"/>
    <w:rsid w:val="00D97CE4"/>
    <w:rsid w:val="00DA017C"/>
    <w:rsid w:val="00DA02AA"/>
    <w:rsid w:val="00DA0527"/>
    <w:rsid w:val="00DA05E9"/>
    <w:rsid w:val="00DA07DB"/>
    <w:rsid w:val="00DA0924"/>
    <w:rsid w:val="00DA0949"/>
    <w:rsid w:val="00DA1705"/>
    <w:rsid w:val="00DA175B"/>
    <w:rsid w:val="00DA1B69"/>
    <w:rsid w:val="00DA1C40"/>
    <w:rsid w:val="00DA224B"/>
    <w:rsid w:val="00DA259E"/>
    <w:rsid w:val="00DA2F2B"/>
    <w:rsid w:val="00DA3338"/>
    <w:rsid w:val="00DA34A5"/>
    <w:rsid w:val="00DA34F4"/>
    <w:rsid w:val="00DA3F16"/>
    <w:rsid w:val="00DA3FA3"/>
    <w:rsid w:val="00DA40A2"/>
    <w:rsid w:val="00DA434F"/>
    <w:rsid w:val="00DA4472"/>
    <w:rsid w:val="00DA4487"/>
    <w:rsid w:val="00DA4E21"/>
    <w:rsid w:val="00DA5212"/>
    <w:rsid w:val="00DA54DB"/>
    <w:rsid w:val="00DA5637"/>
    <w:rsid w:val="00DA5AC6"/>
    <w:rsid w:val="00DA61E4"/>
    <w:rsid w:val="00DA61F5"/>
    <w:rsid w:val="00DA6475"/>
    <w:rsid w:val="00DA6B86"/>
    <w:rsid w:val="00DA6EDA"/>
    <w:rsid w:val="00DA6F6C"/>
    <w:rsid w:val="00DA6F7F"/>
    <w:rsid w:val="00DA7183"/>
    <w:rsid w:val="00DA73A6"/>
    <w:rsid w:val="00DA7BA5"/>
    <w:rsid w:val="00DA7D15"/>
    <w:rsid w:val="00DB0536"/>
    <w:rsid w:val="00DB0554"/>
    <w:rsid w:val="00DB08A0"/>
    <w:rsid w:val="00DB0908"/>
    <w:rsid w:val="00DB0AB1"/>
    <w:rsid w:val="00DB0C6E"/>
    <w:rsid w:val="00DB0E6D"/>
    <w:rsid w:val="00DB1347"/>
    <w:rsid w:val="00DB17F6"/>
    <w:rsid w:val="00DB25D2"/>
    <w:rsid w:val="00DB2789"/>
    <w:rsid w:val="00DB278D"/>
    <w:rsid w:val="00DB2E26"/>
    <w:rsid w:val="00DB37C5"/>
    <w:rsid w:val="00DB44F6"/>
    <w:rsid w:val="00DB4627"/>
    <w:rsid w:val="00DB4E23"/>
    <w:rsid w:val="00DB5272"/>
    <w:rsid w:val="00DB5305"/>
    <w:rsid w:val="00DB5886"/>
    <w:rsid w:val="00DB58D4"/>
    <w:rsid w:val="00DB5AC8"/>
    <w:rsid w:val="00DB5E44"/>
    <w:rsid w:val="00DB63E2"/>
    <w:rsid w:val="00DB641E"/>
    <w:rsid w:val="00DB6485"/>
    <w:rsid w:val="00DB6786"/>
    <w:rsid w:val="00DB6F19"/>
    <w:rsid w:val="00DB718C"/>
    <w:rsid w:val="00DB76FD"/>
    <w:rsid w:val="00DB7B01"/>
    <w:rsid w:val="00DC05D6"/>
    <w:rsid w:val="00DC1339"/>
    <w:rsid w:val="00DC13C3"/>
    <w:rsid w:val="00DC142F"/>
    <w:rsid w:val="00DC185C"/>
    <w:rsid w:val="00DC1D4D"/>
    <w:rsid w:val="00DC215A"/>
    <w:rsid w:val="00DC244B"/>
    <w:rsid w:val="00DC25D1"/>
    <w:rsid w:val="00DC2937"/>
    <w:rsid w:val="00DC2D5F"/>
    <w:rsid w:val="00DC2F4B"/>
    <w:rsid w:val="00DC322A"/>
    <w:rsid w:val="00DC33FE"/>
    <w:rsid w:val="00DC372A"/>
    <w:rsid w:val="00DC3D6B"/>
    <w:rsid w:val="00DC43E7"/>
    <w:rsid w:val="00DC4496"/>
    <w:rsid w:val="00DC45DD"/>
    <w:rsid w:val="00DC49D2"/>
    <w:rsid w:val="00DC4C54"/>
    <w:rsid w:val="00DC4C59"/>
    <w:rsid w:val="00DC531E"/>
    <w:rsid w:val="00DC5799"/>
    <w:rsid w:val="00DC5E95"/>
    <w:rsid w:val="00DC5F69"/>
    <w:rsid w:val="00DC60B1"/>
    <w:rsid w:val="00DC6DA7"/>
    <w:rsid w:val="00DC71D2"/>
    <w:rsid w:val="00DC7A38"/>
    <w:rsid w:val="00DC7A64"/>
    <w:rsid w:val="00DC7E0C"/>
    <w:rsid w:val="00DC7ED0"/>
    <w:rsid w:val="00DD0007"/>
    <w:rsid w:val="00DD0031"/>
    <w:rsid w:val="00DD0DED"/>
    <w:rsid w:val="00DD0E87"/>
    <w:rsid w:val="00DD11DD"/>
    <w:rsid w:val="00DD1460"/>
    <w:rsid w:val="00DD15B8"/>
    <w:rsid w:val="00DD1662"/>
    <w:rsid w:val="00DD1A05"/>
    <w:rsid w:val="00DD1A59"/>
    <w:rsid w:val="00DD1C85"/>
    <w:rsid w:val="00DD1D6B"/>
    <w:rsid w:val="00DD2732"/>
    <w:rsid w:val="00DD2D73"/>
    <w:rsid w:val="00DD3341"/>
    <w:rsid w:val="00DD3450"/>
    <w:rsid w:val="00DD353E"/>
    <w:rsid w:val="00DD35F1"/>
    <w:rsid w:val="00DD3650"/>
    <w:rsid w:val="00DD3C4B"/>
    <w:rsid w:val="00DD3DC1"/>
    <w:rsid w:val="00DD3EDF"/>
    <w:rsid w:val="00DD40AE"/>
    <w:rsid w:val="00DD43E7"/>
    <w:rsid w:val="00DD5176"/>
    <w:rsid w:val="00DD5427"/>
    <w:rsid w:val="00DD546B"/>
    <w:rsid w:val="00DD565C"/>
    <w:rsid w:val="00DD5764"/>
    <w:rsid w:val="00DD599E"/>
    <w:rsid w:val="00DD5C0C"/>
    <w:rsid w:val="00DD5C4B"/>
    <w:rsid w:val="00DD63A8"/>
    <w:rsid w:val="00DD6570"/>
    <w:rsid w:val="00DD6593"/>
    <w:rsid w:val="00DD65A3"/>
    <w:rsid w:val="00DD66C4"/>
    <w:rsid w:val="00DD6887"/>
    <w:rsid w:val="00DD6DDE"/>
    <w:rsid w:val="00DD6DF8"/>
    <w:rsid w:val="00DD7723"/>
    <w:rsid w:val="00DD7748"/>
    <w:rsid w:val="00DD79C3"/>
    <w:rsid w:val="00DD7FBE"/>
    <w:rsid w:val="00DE0181"/>
    <w:rsid w:val="00DE0686"/>
    <w:rsid w:val="00DE1A36"/>
    <w:rsid w:val="00DE1E37"/>
    <w:rsid w:val="00DE2DAB"/>
    <w:rsid w:val="00DE2E01"/>
    <w:rsid w:val="00DE3220"/>
    <w:rsid w:val="00DE32E4"/>
    <w:rsid w:val="00DE3465"/>
    <w:rsid w:val="00DE3576"/>
    <w:rsid w:val="00DE3B85"/>
    <w:rsid w:val="00DE409E"/>
    <w:rsid w:val="00DE4173"/>
    <w:rsid w:val="00DE430C"/>
    <w:rsid w:val="00DE436C"/>
    <w:rsid w:val="00DE47C8"/>
    <w:rsid w:val="00DE4856"/>
    <w:rsid w:val="00DE4867"/>
    <w:rsid w:val="00DE4C2E"/>
    <w:rsid w:val="00DE4DA8"/>
    <w:rsid w:val="00DE4E77"/>
    <w:rsid w:val="00DE514D"/>
    <w:rsid w:val="00DE54A9"/>
    <w:rsid w:val="00DE5531"/>
    <w:rsid w:val="00DE5AA7"/>
    <w:rsid w:val="00DE5AE3"/>
    <w:rsid w:val="00DE639F"/>
    <w:rsid w:val="00DE6928"/>
    <w:rsid w:val="00DE6C14"/>
    <w:rsid w:val="00DE6F1D"/>
    <w:rsid w:val="00DE6F69"/>
    <w:rsid w:val="00DE7318"/>
    <w:rsid w:val="00DE7650"/>
    <w:rsid w:val="00DE774C"/>
    <w:rsid w:val="00DE7A17"/>
    <w:rsid w:val="00DE7EFB"/>
    <w:rsid w:val="00DF0349"/>
    <w:rsid w:val="00DF0495"/>
    <w:rsid w:val="00DF07DA"/>
    <w:rsid w:val="00DF1693"/>
    <w:rsid w:val="00DF1721"/>
    <w:rsid w:val="00DF1927"/>
    <w:rsid w:val="00DF287A"/>
    <w:rsid w:val="00DF2D4C"/>
    <w:rsid w:val="00DF2DB7"/>
    <w:rsid w:val="00DF343F"/>
    <w:rsid w:val="00DF41FF"/>
    <w:rsid w:val="00DF48E5"/>
    <w:rsid w:val="00DF4FDB"/>
    <w:rsid w:val="00DF51EE"/>
    <w:rsid w:val="00DF5422"/>
    <w:rsid w:val="00DF575F"/>
    <w:rsid w:val="00DF5BCB"/>
    <w:rsid w:val="00DF5BFC"/>
    <w:rsid w:val="00DF5E8F"/>
    <w:rsid w:val="00DF63BB"/>
    <w:rsid w:val="00DF6579"/>
    <w:rsid w:val="00DF6815"/>
    <w:rsid w:val="00DF7E85"/>
    <w:rsid w:val="00E000B0"/>
    <w:rsid w:val="00E00579"/>
    <w:rsid w:val="00E00BD8"/>
    <w:rsid w:val="00E00CFC"/>
    <w:rsid w:val="00E00FD0"/>
    <w:rsid w:val="00E01117"/>
    <w:rsid w:val="00E011DA"/>
    <w:rsid w:val="00E01C94"/>
    <w:rsid w:val="00E01EA3"/>
    <w:rsid w:val="00E02060"/>
    <w:rsid w:val="00E02276"/>
    <w:rsid w:val="00E025C3"/>
    <w:rsid w:val="00E029CC"/>
    <w:rsid w:val="00E02A34"/>
    <w:rsid w:val="00E02C81"/>
    <w:rsid w:val="00E02DA2"/>
    <w:rsid w:val="00E03015"/>
    <w:rsid w:val="00E037EC"/>
    <w:rsid w:val="00E03869"/>
    <w:rsid w:val="00E03DAA"/>
    <w:rsid w:val="00E04009"/>
    <w:rsid w:val="00E0423E"/>
    <w:rsid w:val="00E042BD"/>
    <w:rsid w:val="00E046A8"/>
    <w:rsid w:val="00E047D0"/>
    <w:rsid w:val="00E0489D"/>
    <w:rsid w:val="00E048D1"/>
    <w:rsid w:val="00E04A00"/>
    <w:rsid w:val="00E04C23"/>
    <w:rsid w:val="00E04E53"/>
    <w:rsid w:val="00E04F49"/>
    <w:rsid w:val="00E051B8"/>
    <w:rsid w:val="00E053B0"/>
    <w:rsid w:val="00E05E9E"/>
    <w:rsid w:val="00E06141"/>
    <w:rsid w:val="00E06325"/>
    <w:rsid w:val="00E0638C"/>
    <w:rsid w:val="00E064C4"/>
    <w:rsid w:val="00E06B66"/>
    <w:rsid w:val="00E06F48"/>
    <w:rsid w:val="00E0709C"/>
    <w:rsid w:val="00E077B5"/>
    <w:rsid w:val="00E0782B"/>
    <w:rsid w:val="00E109E8"/>
    <w:rsid w:val="00E10B32"/>
    <w:rsid w:val="00E10CDD"/>
    <w:rsid w:val="00E11350"/>
    <w:rsid w:val="00E11A59"/>
    <w:rsid w:val="00E12071"/>
    <w:rsid w:val="00E12104"/>
    <w:rsid w:val="00E12293"/>
    <w:rsid w:val="00E12E56"/>
    <w:rsid w:val="00E138F3"/>
    <w:rsid w:val="00E13CDF"/>
    <w:rsid w:val="00E13CE9"/>
    <w:rsid w:val="00E14399"/>
    <w:rsid w:val="00E149E0"/>
    <w:rsid w:val="00E14BE8"/>
    <w:rsid w:val="00E14C1E"/>
    <w:rsid w:val="00E14C8B"/>
    <w:rsid w:val="00E14F9D"/>
    <w:rsid w:val="00E15165"/>
    <w:rsid w:val="00E1518E"/>
    <w:rsid w:val="00E151DE"/>
    <w:rsid w:val="00E153CC"/>
    <w:rsid w:val="00E1556F"/>
    <w:rsid w:val="00E155F4"/>
    <w:rsid w:val="00E15864"/>
    <w:rsid w:val="00E15968"/>
    <w:rsid w:val="00E159DD"/>
    <w:rsid w:val="00E15FD1"/>
    <w:rsid w:val="00E172B3"/>
    <w:rsid w:val="00E1754C"/>
    <w:rsid w:val="00E1788C"/>
    <w:rsid w:val="00E17D80"/>
    <w:rsid w:val="00E17EF6"/>
    <w:rsid w:val="00E2089A"/>
    <w:rsid w:val="00E209FA"/>
    <w:rsid w:val="00E20B84"/>
    <w:rsid w:val="00E20CD6"/>
    <w:rsid w:val="00E21413"/>
    <w:rsid w:val="00E21777"/>
    <w:rsid w:val="00E21ABF"/>
    <w:rsid w:val="00E21DB9"/>
    <w:rsid w:val="00E222AA"/>
    <w:rsid w:val="00E2234F"/>
    <w:rsid w:val="00E22E0A"/>
    <w:rsid w:val="00E23060"/>
    <w:rsid w:val="00E23644"/>
    <w:rsid w:val="00E237CA"/>
    <w:rsid w:val="00E239DE"/>
    <w:rsid w:val="00E23AA5"/>
    <w:rsid w:val="00E242E1"/>
    <w:rsid w:val="00E243DB"/>
    <w:rsid w:val="00E246DC"/>
    <w:rsid w:val="00E24969"/>
    <w:rsid w:val="00E24CE1"/>
    <w:rsid w:val="00E24FE1"/>
    <w:rsid w:val="00E25AFC"/>
    <w:rsid w:val="00E25C10"/>
    <w:rsid w:val="00E25D85"/>
    <w:rsid w:val="00E25F58"/>
    <w:rsid w:val="00E25F69"/>
    <w:rsid w:val="00E262C9"/>
    <w:rsid w:val="00E2631C"/>
    <w:rsid w:val="00E26643"/>
    <w:rsid w:val="00E26AD1"/>
    <w:rsid w:val="00E26B74"/>
    <w:rsid w:val="00E26BDC"/>
    <w:rsid w:val="00E26F22"/>
    <w:rsid w:val="00E274E0"/>
    <w:rsid w:val="00E275A2"/>
    <w:rsid w:val="00E27738"/>
    <w:rsid w:val="00E2786B"/>
    <w:rsid w:val="00E27AFB"/>
    <w:rsid w:val="00E301B9"/>
    <w:rsid w:val="00E304C1"/>
    <w:rsid w:val="00E3056A"/>
    <w:rsid w:val="00E309D4"/>
    <w:rsid w:val="00E30A0C"/>
    <w:rsid w:val="00E30D04"/>
    <w:rsid w:val="00E30D86"/>
    <w:rsid w:val="00E30E22"/>
    <w:rsid w:val="00E327C9"/>
    <w:rsid w:val="00E32DDE"/>
    <w:rsid w:val="00E32E3D"/>
    <w:rsid w:val="00E32EDA"/>
    <w:rsid w:val="00E3326F"/>
    <w:rsid w:val="00E333D1"/>
    <w:rsid w:val="00E33565"/>
    <w:rsid w:val="00E33E6F"/>
    <w:rsid w:val="00E34120"/>
    <w:rsid w:val="00E34151"/>
    <w:rsid w:val="00E34407"/>
    <w:rsid w:val="00E34D32"/>
    <w:rsid w:val="00E35692"/>
    <w:rsid w:val="00E35958"/>
    <w:rsid w:val="00E36083"/>
    <w:rsid w:val="00E364A4"/>
    <w:rsid w:val="00E36640"/>
    <w:rsid w:val="00E36A97"/>
    <w:rsid w:val="00E36D39"/>
    <w:rsid w:val="00E37834"/>
    <w:rsid w:val="00E37879"/>
    <w:rsid w:val="00E4024C"/>
    <w:rsid w:val="00E404D0"/>
    <w:rsid w:val="00E40F20"/>
    <w:rsid w:val="00E41EAB"/>
    <w:rsid w:val="00E41F5D"/>
    <w:rsid w:val="00E4219F"/>
    <w:rsid w:val="00E426E4"/>
    <w:rsid w:val="00E42852"/>
    <w:rsid w:val="00E42D38"/>
    <w:rsid w:val="00E42F67"/>
    <w:rsid w:val="00E4311E"/>
    <w:rsid w:val="00E43168"/>
    <w:rsid w:val="00E43800"/>
    <w:rsid w:val="00E438D7"/>
    <w:rsid w:val="00E43A15"/>
    <w:rsid w:val="00E43A66"/>
    <w:rsid w:val="00E43AF9"/>
    <w:rsid w:val="00E43CEE"/>
    <w:rsid w:val="00E43D1D"/>
    <w:rsid w:val="00E44652"/>
    <w:rsid w:val="00E446EC"/>
    <w:rsid w:val="00E453E9"/>
    <w:rsid w:val="00E453FE"/>
    <w:rsid w:val="00E45424"/>
    <w:rsid w:val="00E45BAC"/>
    <w:rsid w:val="00E45E1C"/>
    <w:rsid w:val="00E4657E"/>
    <w:rsid w:val="00E4658C"/>
    <w:rsid w:val="00E4661D"/>
    <w:rsid w:val="00E46928"/>
    <w:rsid w:val="00E470A3"/>
    <w:rsid w:val="00E4725A"/>
    <w:rsid w:val="00E47482"/>
    <w:rsid w:val="00E479A6"/>
    <w:rsid w:val="00E47DD7"/>
    <w:rsid w:val="00E5097C"/>
    <w:rsid w:val="00E50A31"/>
    <w:rsid w:val="00E50E22"/>
    <w:rsid w:val="00E50FA8"/>
    <w:rsid w:val="00E510BD"/>
    <w:rsid w:val="00E5121F"/>
    <w:rsid w:val="00E51975"/>
    <w:rsid w:val="00E51AA7"/>
    <w:rsid w:val="00E51BFB"/>
    <w:rsid w:val="00E51C5A"/>
    <w:rsid w:val="00E51F3F"/>
    <w:rsid w:val="00E522C0"/>
    <w:rsid w:val="00E528CD"/>
    <w:rsid w:val="00E52C2C"/>
    <w:rsid w:val="00E531CF"/>
    <w:rsid w:val="00E5350A"/>
    <w:rsid w:val="00E536CB"/>
    <w:rsid w:val="00E5373C"/>
    <w:rsid w:val="00E539E8"/>
    <w:rsid w:val="00E540E8"/>
    <w:rsid w:val="00E5411C"/>
    <w:rsid w:val="00E54724"/>
    <w:rsid w:val="00E54F2F"/>
    <w:rsid w:val="00E55679"/>
    <w:rsid w:val="00E557BC"/>
    <w:rsid w:val="00E5591E"/>
    <w:rsid w:val="00E55C90"/>
    <w:rsid w:val="00E55FB8"/>
    <w:rsid w:val="00E566A5"/>
    <w:rsid w:val="00E56A10"/>
    <w:rsid w:val="00E56FE0"/>
    <w:rsid w:val="00E572A9"/>
    <w:rsid w:val="00E5732C"/>
    <w:rsid w:val="00E57C2B"/>
    <w:rsid w:val="00E57CB2"/>
    <w:rsid w:val="00E57D6E"/>
    <w:rsid w:val="00E603A3"/>
    <w:rsid w:val="00E606C9"/>
    <w:rsid w:val="00E6079F"/>
    <w:rsid w:val="00E60930"/>
    <w:rsid w:val="00E6093B"/>
    <w:rsid w:val="00E60B88"/>
    <w:rsid w:val="00E61107"/>
    <w:rsid w:val="00E6115B"/>
    <w:rsid w:val="00E6167F"/>
    <w:rsid w:val="00E62467"/>
    <w:rsid w:val="00E6257A"/>
    <w:rsid w:val="00E62F31"/>
    <w:rsid w:val="00E634D6"/>
    <w:rsid w:val="00E63C44"/>
    <w:rsid w:val="00E63EFA"/>
    <w:rsid w:val="00E64966"/>
    <w:rsid w:val="00E64B71"/>
    <w:rsid w:val="00E64CAA"/>
    <w:rsid w:val="00E64E90"/>
    <w:rsid w:val="00E6511D"/>
    <w:rsid w:val="00E65B54"/>
    <w:rsid w:val="00E65EEE"/>
    <w:rsid w:val="00E664FE"/>
    <w:rsid w:val="00E665D7"/>
    <w:rsid w:val="00E66C48"/>
    <w:rsid w:val="00E66FBB"/>
    <w:rsid w:val="00E6702B"/>
    <w:rsid w:val="00E6707C"/>
    <w:rsid w:val="00E6741A"/>
    <w:rsid w:val="00E6750A"/>
    <w:rsid w:val="00E6759D"/>
    <w:rsid w:val="00E67735"/>
    <w:rsid w:val="00E67AF3"/>
    <w:rsid w:val="00E7028E"/>
    <w:rsid w:val="00E703B1"/>
    <w:rsid w:val="00E70423"/>
    <w:rsid w:val="00E708F1"/>
    <w:rsid w:val="00E70BC6"/>
    <w:rsid w:val="00E71251"/>
    <w:rsid w:val="00E71FFF"/>
    <w:rsid w:val="00E73198"/>
    <w:rsid w:val="00E7344F"/>
    <w:rsid w:val="00E73696"/>
    <w:rsid w:val="00E73774"/>
    <w:rsid w:val="00E7393D"/>
    <w:rsid w:val="00E73A44"/>
    <w:rsid w:val="00E73A67"/>
    <w:rsid w:val="00E73B21"/>
    <w:rsid w:val="00E73F5F"/>
    <w:rsid w:val="00E74536"/>
    <w:rsid w:val="00E74629"/>
    <w:rsid w:val="00E747EE"/>
    <w:rsid w:val="00E74F73"/>
    <w:rsid w:val="00E75215"/>
    <w:rsid w:val="00E75369"/>
    <w:rsid w:val="00E75628"/>
    <w:rsid w:val="00E75ECA"/>
    <w:rsid w:val="00E75FAA"/>
    <w:rsid w:val="00E76105"/>
    <w:rsid w:val="00E764EB"/>
    <w:rsid w:val="00E769D4"/>
    <w:rsid w:val="00E77246"/>
    <w:rsid w:val="00E77625"/>
    <w:rsid w:val="00E77D7A"/>
    <w:rsid w:val="00E80076"/>
    <w:rsid w:val="00E808B6"/>
    <w:rsid w:val="00E808EF"/>
    <w:rsid w:val="00E80EB5"/>
    <w:rsid w:val="00E81061"/>
    <w:rsid w:val="00E819EF"/>
    <w:rsid w:val="00E81E75"/>
    <w:rsid w:val="00E81F6B"/>
    <w:rsid w:val="00E8231B"/>
    <w:rsid w:val="00E827A0"/>
    <w:rsid w:val="00E82ECE"/>
    <w:rsid w:val="00E83767"/>
    <w:rsid w:val="00E83869"/>
    <w:rsid w:val="00E83BEF"/>
    <w:rsid w:val="00E83FAD"/>
    <w:rsid w:val="00E84E0E"/>
    <w:rsid w:val="00E84FF9"/>
    <w:rsid w:val="00E852A4"/>
    <w:rsid w:val="00E858F5"/>
    <w:rsid w:val="00E85B2E"/>
    <w:rsid w:val="00E860DF"/>
    <w:rsid w:val="00E862A4"/>
    <w:rsid w:val="00E86E49"/>
    <w:rsid w:val="00E86E93"/>
    <w:rsid w:val="00E87116"/>
    <w:rsid w:val="00E878DF"/>
    <w:rsid w:val="00E90220"/>
    <w:rsid w:val="00E902C7"/>
    <w:rsid w:val="00E902D8"/>
    <w:rsid w:val="00E9036C"/>
    <w:rsid w:val="00E9079D"/>
    <w:rsid w:val="00E90BB1"/>
    <w:rsid w:val="00E90D81"/>
    <w:rsid w:val="00E911E1"/>
    <w:rsid w:val="00E914B5"/>
    <w:rsid w:val="00E91A46"/>
    <w:rsid w:val="00E91E35"/>
    <w:rsid w:val="00E91E47"/>
    <w:rsid w:val="00E91EE9"/>
    <w:rsid w:val="00E926C2"/>
    <w:rsid w:val="00E92B69"/>
    <w:rsid w:val="00E92B77"/>
    <w:rsid w:val="00E92D7C"/>
    <w:rsid w:val="00E92DE2"/>
    <w:rsid w:val="00E92F24"/>
    <w:rsid w:val="00E92F49"/>
    <w:rsid w:val="00E9308D"/>
    <w:rsid w:val="00E932E3"/>
    <w:rsid w:val="00E93C26"/>
    <w:rsid w:val="00E93D26"/>
    <w:rsid w:val="00E9403C"/>
    <w:rsid w:val="00E9410E"/>
    <w:rsid w:val="00E9446B"/>
    <w:rsid w:val="00E9457D"/>
    <w:rsid w:val="00E945E1"/>
    <w:rsid w:val="00E94746"/>
    <w:rsid w:val="00E94C57"/>
    <w:rsid w:val="00E94DB3"/>
    <w:rsid w:val="00E94FBC"/>
    <w:rsid w:val="00E94FBD"/>
    <w:rsid w:val="00E9550D"/>
    <w:rsid w:val="00E956FA"/>
    <w:rsid w:val="00E957DD"/>
    <w:rsid w:val="00E968A6"/>
    <w:rsid w:val="00E96BF7"/>
    <w:rsid w:val="00E96BFB"/>
    <w:rsid w:val="00E96CAC"/>
    <w:rsid w:val="00E96D11"/>
    <w:rsid w:val="00E977CE"/>
    <w:rsid w:val="00E97930"/>
    <w:rsid w:val="00E97937"/>
    <w:rsid w:val="00E97D7A"/>
    <w:rsid w:val="00EA0292"/>
    <w:rsid w:val="00EA057E"/>
    <w:rsid w:val="00EA0A40"/>
    <w:rsid w:val="00EA0A51"/>
    <w:rsid w:val="00EA0A76"/>
    <w:rsid w:val="00EA0CA4"/>
    <w:rsid w:val="00EA12A3"/>
    <w:rsid w:val="00EA165A"/>
    <w:rsid w:val="00EA1866"/>
    <w:rsid w:val="00EA1938"/>
    <w:rsid w:val="00EA215B"/>
    <w:rsid w:val="00EA224C"/>
    <w:rsid w:val="00EA231B"/>
    <w:rsid w:val="00EA24C8"/>
    <w:rsid w:val="00EA2702"/>
    <w:rsid w:val="00EA282B"/>
    <w:rsid w:val="00EA2F18"/>
    <w:rsid w:val="00EA3333"/>
    <w:rsid w:val="00EA40D0"/>
    <w:rsid w:val="00EA423A"/>
    <w:rsid w:val="00EA4240"/>
    <w:rsid w:val="00EA4715"/>
    <w:rsid w:val="00EA496B"/>
    <w:rsid w:val="00EA4A36"/>
    <w:rsid w:val="00EA56C8"/>
    <w:rsid w:val="00EA596F"/>
    <w:rsid w:val="00EA6024"/>
    <w:rsid w:val="00EA635F"/>
    <w:rsid w:val="00EA667A"/>
    <w:rsid w:val="00EA66F0"/>
    <w:rsid w:val="00EA6BD2"/>
    <w:rsid w:val="00EA6C7B"/>
    <w:rsid w:val="00EA74E6"/>
    <w:rsid w:val="00EA7595"/>
    <w:rsid w:val="00EA77C2"/>
    <w:rsid w:val="00EA7A74"/>
    <w:rsid w:val="00EA7E47"/>
    <w:rsid w:val="00EB001D"/>
    <w:rsid w:val="00EB0890"/>
    <w:rsid w:val="00EB09B2"/>
    <w:rsid w:val="00EB0F1E"/>
    <w:rsid w:val="00EB0FA1"/>
    <w:rsid w:val="00EB1481"/>
    <w:rsid w:val="00EB1B28"/>
    <w:rsid w:val="00EB2879"/>
    <w:rsid w:val="00EB336A"/>
    <w:rsid w:val="00EB348F"/>
    <w:rsid w:val="00EB3631"/>
    <w:rsid w:val="00EB3B86"/>
    <w:rsid w:val="00EB3EDE"/>
    <w:rsid w:val="00EB3F36"/>
    <w:rsid w:val="00EB4339"/>
    <w:rsid w:val="00EB4445"/>
    <w:rsid w:val="00EB45A6"/>
    <w:rsid w:val="00EB4620"/>
    <w:rsid w:val="00EB491B"/>
    <w:rsid w:val="00EB4B05"/>
    <w:rsid w:val="00EB4B1F"/>
    <w:rsid w:val="00EB4DF8"/>
    <w:rsid w:val="00EB520F"/>
    <w:rsid w:val="00EB5541"/>
    <w:rsid w:val="00EB5F51"/>
    <w:rsid w:val="00EB6056"/>
    <w:rsid w:val="00EB621F"/>
    <w:rsid w:val="00EB6295"/>
    <w:rsid w:val="00EB63C0"/>
    <w:rsid w:val="00EB64BC"/>
    <w:rsid w:val="00EB6E84"/>
    <w:rsid w:val="00EB70A0"/>
    <w:rsid w:val="00EB7265"/>
    <w:rsid w:val="00EB73FB"/>
    <w:rsid w:val="00EB7512"/>
    <w:rsid w:val="00EB793B"/>
    <w:rsid w:val="00EB7D83"/>
    <w:rsid w:val="00EC02DC"/>
    <w:rsid w:val="00EC0ACF"/>
    <w:rsid w:val="00EC0BC2"/>
    <w:rsid w:val="00EC0D41"/>
    <w:rsid w:val="00EC0D97"/>
    <w:rsid w:val="00EC0F32"/>
    <w:rsid w:val="00EC14E3"/>
    <w:rsid w:val="00EC1721"/>
    <w:rsid w:val="00EC1908"/>
    <w:rsid w:val="00EC1C01"/>
    <w:rsid w:val="00EC1F0E"/>
    <w:rsid w:val="00EC2802"/>
    <w:rsid w:val="00EC2851"/>
    <w:rsid w:val="00EC2A79"/>
    <w:rsid w:val="00EC2EB0"/>
    <w:rsid w:val="00EC2F25"/>
    <w:rsid w:val="00EC30E1"/>
    <w:rsid w:val="00EC354E"/>
    <w:rsid w:val="00EC3E7E"/>
    <w:rsid w:val="00EC47B4"/>
    <w:rsid w:val="00EC49F9"/>
    <w:rsid w:val="00EC4AFD"/>
    <w:rsid w:val="00EC4BED"/>
    <w:rsid w:val="00EC4E8E"/>
    <w:rsid w:val="00EC5177"/>
    <w:rsid w:val="00EC591B"/>
    <w:rsid w:val="00EC68D7"/>
    <w:rsid w:val="00EC6C80"/>
    <w:rsid w:val="00EC77E5"/>
    <w:rsid w:val="00EC7B0C"/>
    <w:rsid w:val="00EC7E65"/>
    <w:rsid w:val="00EC7EFC"/>
    <w:rsid w:val="00ED032E"/>
    <w:rsid w:val="00ED0602"/>
    <w:rsid w:val="00ED0814"/>
    <w:rsid w:val="00ED0939"/>
    <w:rsid w:val="00ED0BB8"/>
    <w:rsid w:val="00ED0C30"/>
    <w:rsid w:val="00ED0E6B"/>
    <w:rsid w:val="00ED0F5E"/>
    <w:rsid w:val="00ED128B"/>
    <w:rsid w:val="00ED13F6"/>
    <w:rsid w:val="00ED140A"/>
    <w:rsid w:val="00ED1541"/>
    <w:rsid w:val="00ED19B4"/>
    <w:rsid w:val="00ED1AFF"/>
    <w:rsid w:val="00ED1C75"/>
    <w:rsid w:val="00ED1D01"/>
    <w:rsid w:val="00ED25B9"/>
    <w:rsid w:val="00ED282A"/>
    <w:rsid w:val="00ED2A34"/>
    <w:rsid w:val="00ED2C00"/>
    <w:rsid w:val="00ED2F1E"/>
    <w:rsid w:val="00ED31E3"/>
    <w:rsid w:val="00ED3203"/>
    <w:rsid w:val="00ED364D"/>
    <w:rsid w:val="00ED3721"/>
    <w:rsid w:val="00ED3F94"/>
    <w:rsid w:val="00ED40AF"/>
    <w:rsid w:val="00ED4245"/>
    <w:rsid w:val="00ED50DC"/>
    <w:rsid w:val="00ED513F"/>
    <w:rsid w:val="00ED5448"/>
    <w:rsid w:val="00ED58FF"/>
    <w:rsid w:val="00ED59FC"/>
    <w:rsid w:val="00ED5AC5"/>
    <w:rsid w:val="00ED5FA4"/>
    <w:rsid w:val="00ED621A"/>
    <w:rsid w:val="00ED6537"/>
    <w:rsid w:val="00ED684D"/>
    <w:rsid w:val="00ED6AC5"/>
    <w:rsid w:val="00ED6B7E"/>
    <w:rsid w:val="00ED6BB4"/>
    <w:rsid w:val="00ED74B7"/>
    <w:rsid w:val="00ED76CF"/>
    <w:rsid w:val="00ED7EE0"/>
    <w:rsid w:val="00EE0073"/>
    <w:rsid w:val="00EE018F"/>
    <w:rsid w:val="00EE0962"/>
    <w:rsid w:val="00EE0C29"/>
    <w:rsid w:val="00EE14DF"/>
    <w:rsid w:val="00EE190E"/>
    <w:rsid w:val="00EE1D88"/>
    <w:rsid w:val="00EE1FD3"/>
    <w:rsid w:val="00EE2214"/>
    <w:rsid w:val="00EE2A6F"/>
    <w:rsid w:val="00EE320C"/>
    <w:rsid w:val="00EE3233"/>
    <w:rsid w:val="00EE3441"/>
    <w:rsid w:val="00EE36B0"/>
    <w:rsid w:val="00EE36F6"/>
    <w:rsid w:val="00EE37A4"/>
    <w:rsid w:val="00EE3AB2"/>
    <w:rsid w:val="00EE4C84"/>
    <w:rsid w:val="00EE5073"/>
    <w:rsid w:val="00EE526B"/>
    <w:rsid w:val="00EE5877"/>
    <w:rsid w:val="00EE617D"/>
    <w:rsid w:val="00EE67CE"/>
    <w:rsid w:val="00EE6870"/>
    <w:rsid w:val="00EE6BE0"/>
    <w:rsid w:val="00EE6F1E"/>
    <w:rsid w:val="00EE7424"/>
    <w:rsid w:val="00EE7462"/>
    <w:rsid w:val="00EE7698"/>
    <w:rsid w:val="00EE7722"/>
    <w:rsid w:val="00EE7B83"/>
    <w:rsid w:val="00EF05E8"/>
    <w:rsid w:val="00EF0602"/>
    <w:rsid w:val="00EF06F0"/>
    <w:rsid w:val="00EF0CB4"/>
    <w:rsid w:val="00EF1B50"/>
    <w:rsid w:val="00EF1D13"/>
    <w:rsid w:val="00EF1E7A"/>
    <w:rsid w:val="00EF2464"/>
    <w:rsid w:val="00EF2744"/>
    <w:rsid w:val="00EF27A8"/>
    <w:rsid w:val="00EF2B2F"/>
    <w:rsid w:val="00EF2C4F"/>
    <w:rsid w:val="00EF3074"/>
    <w:rsid w:val="00EF32ED"/>
    <w:rsid w:val="00EF36E9"/>
    <w:rsid w:val="00EF39E3"/>
    <w:rsid w:val="00EF3DD2"/>
    <w:rsid w:val="00EF3E83"/>
    <w:rsid w:val="00EF440A"/>
    <w:rsid w:val="00EF4D3F"/>
    <w:rsid w:val="00EF501A"/>
    <w:rsid w:val="00EF5248"/>
    <w:rsid w:val="00EF5B8C"/>
    <w:rsid w:val="00EF5C89"/>
    <w:rsid w:val="00EF6478"/>
    <w:rsid w:val="00EF64A0"/>
    <w:rsid w:val="00EF65B7"/>
    <w:rsid w:val="00EF6D90"/>
    <w:rsid w:val="00EF6DE6"/>
    <w:rsid w:val="00EF6F59"/>
    <w:rsid w:val="00EF710E"/>
    <w:rsid w:val="00EF721C"/>
    <w:rsid w:val="00EF73DE"/>
    <w:rsid w:val="00EF74F2"/>
    <w:rsid w:val="00EF7BAC"/>
    <w:rsid w:val="00F0010F"/>
    <w:rsid w:val="00F00325"/>
    <w:rsid w:val="00F006F8"/>
    <w:rsid w:val="00F009B1"/>
    <w:rsid w:val="00F00F7F"/>
    <w:rsid w:val="00F00FC7"/>
    <w:rsid w:val="00F012D9"/>
    <w:rsid w:val="00F013E8"/>
    <w:rsid w:val="00F01807"/>
    <w:rsid w:val="00F0201E"/>
    <w:rsid w:val="00F02212"/>
    <w:rsid w:val="00F02DFF"/>
    <w:rsid w:val="00F030D5"/>
    <w:rsid w:val="00F03583"/>
    <w:rsid w:val="00F037A9"/>
    <w:rsid w:val="00F037ED"/>
    <w:rsid w:val="00F03BFF"/>
    <w:rsid w:val="00F040B8"/>
    <w:rsid w:val="00F0471D"/>
    <w:rsid w:val="00F04888"/>
    <w:rsid w:val="00F04D31"/>
    <w:rsid w:val="00F04E70"/>
    <w:rsid w:val="00F0551D"/>
    <w:rsid w:val="00F056E3"/>
    <w:rsid w:val="00F0580A"/>
    <w:rsid w:val="00F05814"/>
    <w:rsid w:val="00F05BB8"/>
    <w:rsid w:val="00F05CFE"/>
    <w:rsid w:val="00F060BC"/>
    <w:rsid w:val="00F060F4"/>
    <w:rsid w:val="00F06195"/>
    <w:rsid w:val="00F06607"/>
    <w:rsid w:val="00F06E39"/>
    <w:rsid w:val="00F071DF"/>
    <w:rsid w:val="00F0746A"/>
    <w:rsid w:val="00F07772"/>
    <w:rsid w:val="00F0782B"/>
    <w:rsid w:val="00F078EF"/>
    <w:rsid w:val="00F079D1"/>
    <w:rsid w:val="00F07A6E"/>
    <w:rsid w:val="00F102B2"/>
    <w:rsid w:val="00F10563"/>
    <w:rsid w:val="00F10721"/>
    <w:rsid w:val="00F10DD1"/>
    <w:rsid w:val="00F1137C"/>
    <w:rsid w:val="00F113B1"/>
    <w:rsid w:val="00F11670"/>
    <w:rsid w:val="00F118E0"/>
    <w:rsid w:val="00F11B36"/>
    <w:rsid w:val="00F12796"/>
    <w:rsid w:val="00F1327A"/>
    <w:rsid w:val="00F132F7"/>
    <w:rsid w:val="00F132FF"/>
    <w:rsid w:val="00F1359B"/>
    <w:rsid w:val="00F1393B"/>
    <w:rsid w:val="00F13962"/>
    <w:rsid w:val="00F13A12"/>
    <w:rsid w:val="00F13B79"/>
    <w:rsid w:val="00F14012"/>
    <w:rsid w:val="00F14A1E"/>
    <w:rsid w:val="00F14BD7"/>
    <w:rsid w:val="00F15163"/>
    <w:rsid w:val="00F1544D"/>
    <w:rsid w:val="00F15C54"/>
    <w:rsid w:val="00F15D10"/>
    <w:rsid w:val="00F15DA8"/>
    <w:rsid w:val="00F15F87"/>
    <w:rsid w:val="00F1608F"/>
    <w:rsid w:val="00F162DA"/>
    <w:rsid w:val="00F162EE"/>
    <w:rsid w:val="00F166F2"/>
    <w:rsid w:val="00F168E7"/>
    <w:rsid w:val="00F169BD"/>
    <w:rsid w:val="00F16E7C"/>
    <w:rsid w:val="00F16F41"/>
    <w:rsid w:val="00F171AE"/>
    <w:rsid w:val="00F17479"/>
    <w:rsid w:val="00F176EB"/>
    <w:rsid w:val="00F201F7"/>
    <w:rsid w:val="00F20B6D"/>
    <w:rsid w:val="00F20E28"/>
    <w:rsid w:val="00F21245"/>
    <w:rsid w:val="00F215EE"/>
    <w:rsid w:val="00F22157"/>
    <w:rsid w:val="00F2256E"/>
    <w:rsid w:val="00F22609"/>
    <w:rsid w:val="00F22720"/>
    <w:rsid w:val="00F22802"/>
    <w:rsid w:val="00F22970"/>
    <w:rsid w:val="00F22AD9"/>
    <w:rsid w:val="00F22C8B"/>
    <w:rsid w:val="00F22D56"/>
    <w:rsid w:val="00F231A3"/>
    <w:rsid w:val="00F232FC"/>
    <w:rsid w:val="00F23372"/>
    <w:rsid w:val="00F23760"/>
    <w:rsid w:val="00F23789"/>
    <w:rsid w:val="00F23F1B"/>
    <w:rsid w:val="00F24ABA"/>
    <w:rsid w:val="00F24C60"/>
    <w:rsid w:val="00F24F0D"/>
    <w:rsid w:val="00F2511A"/>
    <w:rsid w:val="00F25572"/>
    <w:rsid w:val="00F258D7"/>
    <w:rsid w:val="00F25A4F"/>
    <w:rsid w:val="00F25C4A"/>
    <w:rsid w:val="00F261D9"/>
    <w:rsid w:val="00F263FC"/>
    <w:rsid w:val="00F2644F"/>
    <w:rsid w:val="00F2673F"/>
    <w:rsid w:val="00F26826"/>
    <w:rsid w:val="00F268AF"/>
    <w:rsid w:val="00F26EED"/>
    <w:rsid w:val="00F26F51"/>
    <w:rsid w:val="00F272A7"/>
    <w:rsid w:val="00F27303"/>
    <w:rsid w:val="00F27516"/>
    <w:rsid w:val="00F277E7"/>
    <w:rsid w:val="00F2783B"/>
    <w:rsid w:val="00F279AA"/>
    <w:rsid w:val="00F27B28"/>
    <w:rsid w:val="00F27B3B"/>
    <w:rsid w:val="00F30445"/>
    <w:rsid w:val="00F30805"/>
    <w:rsid w:val="00F309AC"/>
    <w:rsid w:val="00F30BFB"/>
    <w:rsid w:val="00F31284"/>
    <w:rsid w:val="00F3135E"/>
    <w:rsid w:val="00F316CE"/>
    <w:rsid w:val="00F31B08"/>
    <w:rsid w:val="00F31F81"/>
    <w:rsid w:val="00F321FE"/>
    <w:rsid w:val="00F32315"/>
    <w:rsid w:val="00F3258D"/>
    <w:rsid w:val="00F325BB"/>
    <w:rsid w:val="00F33119"/>
    <w:rsid w:val="00F33291"/>
    <w:rsid w:val="00F3367D"/>
    <w:rsid w:val="00F3399B"/>
    <w:rsid w:val="00F34191"/>
    <w:rsid w:val="00F344A0"/>
    <w:rsid w:val="00F347B7"/>
    <w:rsid w:val="00F34EC2"/>
    <w:rsid w:val="00F34EEA"/>
    <w:rsid w:val="00F35024"/>
    <w:rsid w:val="00F35437"/>
    <w:rsid w:val="00F35596"/>
    <w:rsid w:val="00F35620"/>
    <w:rsid w:val="00F36301"/>
    <w:rsid w:val="00F3672A"/>
    <w:rsid w:val="00F3698A"/>
    <w:rsid w:val="00F36BDA"/>
    <w:rsid w:val="00F36D31"/>
    <w:rsid w:val="00F376ED"/>
    <w:rsid w:val="00F37722"/>
    <w:rsid w:val="00F37766"/>
    <w:rsid w:val="00F37AEF"/>
    <w:rsid w:val="00F37B3F"/>
    <w:rsid w:val="00F40184"/>
    <w:rsid w:val="00F41880"/>
    <w:rsid w:val="00F41F18"/>
    <w:rsid w:val="00F426E0"/>
    <w:rsid w:val="00F42D2E"/>
    <w:rsid w:val="00F42F6B"/>
    <w:rsid w:val="00F434B6"/>
    <w:rsid w:val="00F43B61"/>
    <w:rsid w:val="00F43E5B"/>
    <w:rsid w:val="00F445AE"/>
    <w:rsid w:val="00F44C81"/>
    <w:rsid w:val="00F44D43"/>
    <w:rsid w:val="00F44E18"/>
    <w:rsid w:val="00F4521A"/>
    <w:rsid w:val="00F45BA2"/>
    <w:rsid w:val="00F45D28"/>
    <w:rsid w:val="00F45DD2"/>
    <w:rsid w:val="00F4640B"/>
    <w:rsid w:val="00F464F7"/>
    <w:rsid w:val="00F46855"/>
    <w:rsid w:val="00F4690D"/>
    <w:rsid w:val="00F46AC2"/>
    <w:rsid w:val="00F46F18"/>
    <w:rsid w:val="00F47180"/>
    <w:rsid w:val="00F476D5"/>
    <w:rsid w:val="00F47ECF"/>
    <w:rsid w:val="00F47FAF"/>
    <w:rsid w:val="00F50758"/>
    <w:rsid w:val="00F511E7"/>
    <w:rsid w:val="00F513F4"/>
    <w:rsid w:val="00F51828"/>
    <w:rsid w:val="00F51FC6"/>
    <w:rsid w:val="00F52000"/>
    <w:rsid w:val="00F52854"/>
    <w:rsid w:val="00F5285F"/>
    <w:rsid w:val="00F52C51"/>
    <w:rsid w:val="00F52DA1"/>
    <w:rsid w:val="00F52E1F"/>
    <w:rsid w:val="00F52E67"/>
    <w:rsid w:val="00F534B8"/>
    <w:rsid w:val="00F54A32"/>
    <w:rsid w:val="00F54B37"/>
    <w:rsid w:val="00F55085"/>
    <w:rsid w:val="00F550CA"/>
    <w:rsid w:val="00F5593D"/>
    <w:rsid w:val="00F55AC6"/>
    <w:rsid w:val="00F55B16"/>
    <w:rsid w:val="00F55D57"/>
    <w:rsid w:val="00F56327"/>
    <w:rsid w:val="00F56387"/>
    <w:rsid w:val="00F56594"/>
    <w:rsid w:val="00F57BEF"/>
    <w:rsid w:val="00F60101"/>
    <w:rsid w:val="00F60235"/>
    <w:rsid w:val="00F607CD"/>
    <w:rsid w:val="00F608FD"/>
    <w:rsid w:val="00F60AB2"/>
    <w:rsid w:val="00F6146F"/>
    <w:rsid w:val="00F61562"/>
    <w:rsid w:val="00F61BC9"/>
    <w:rsid w:val="00F628FD"/>
    <w:rsid w:val="00F629D9"/>
    <w:rsid w:val="00F62CF4"/>
    <w:rsid w:val="00F62E14"/>
    <w:rsid w:val="00F62ED0"/>
    <w:rsid w:val="00F62F59"/>
    <w:rsid w:val="00F6336D"/>
    <w:rsid w:val="00F6338F"/>
    <w:rsid w:val="00F6339B"/>
    <w:rsid w:val="00F6396D"/>
    <w:rsid w:val="00F63E3E"/>
    <w:rsid w:val="00F63FD2"/>
    <w:rsid w:val="00F640F8"/>
    <w:rsid w:val="00F6431E"/>
    <w:rsid w:val="00F64383"/>
    <w:rsid w:val="00F644FD"/>
    <w:rsid w:val="00F645AF"/>
    <w:rsid w:val="00F649CB"/>
    <w:rsid w:val="00F64E0D"/>
    <w:rsid w:val="00F64EBF"/>
    <w:rsid w:val="00F65066"/>
    <w:rsid w:val="00F656EA"/>
    <w:rsid w:val="00F65CCF"/>
    <w:rsid w:val="00F65EB9"/>
    <w:rsid w:val="00F6630F"/>
    <w:rsid w:val="00F6679B"/>
    <w:rsid w:val="00F667EF"/>
    <w:rsid w:val="00F66D6B"/>
    <w:rsid w:val="00F66EF1"/>
    <w:rsid w:val="00F6715D"/>
    <w:rsid w:val="00F67163"/>
    <w:rsid w:val="00F6798C"/>
    <w:rsid w:val="00F67A7B"/>
    <w:rsid w:val="00F67ADF"/>
    <w:rsid w:val="00F67E98"/>
    <w:rsid w:val="00F706F2"/>
    <w:rsid w:val="00F70C44"/>
    <w:rsid w:val="00F71530"/>
    <w:rsid w:val="00F71823"/>
    <w:rsid w:val="00F718D4"/>
    <w:rsid w:val="00F72389"/>
    <w:rsid w:val="00F723A0"/>
    <w:rsid w:val="00F72891"/>
    <w:rsid w:val="00F72D49"/>
    <w:rsid w:val="00F72DB1"/>
    <w:rsid w:val="00F730F4"/>
    <w:rsid w:val="00F7325B"/>
    <w:rsid w:val="00F7360B"/>
    <w:rsid w:val="00F73F76"/>
    <w:rsid w:val="00F74012"/>
    <w:rsid w:val="00F74176"/>
    <w:rsid w:val="00F741BA"/>
    <w:rsid w:val="00F74BDC"/>
    <w:rsid w:val="00F74D75"/>
    <w:rsid w:val="00F74F90"/>
    <w:rsid w:val="00F754D2"/>
    <w:rsid w:val="00F7587D"/>
    <w:rsid w:val="00F75A33"/>
    <w:rsid w:val="00F75A6A"/>
    <w:rsid w:val="00F75BEF"/>
    <w:rsid w:val="00F75D11"/>
    <w:rsid w:val="00F7640B"/>
    <w:rsid w:val="00F76448"/>
    <w:rsid w:val="00F766EE"/>
    <w:rsid w:val="00F76868"/>
    <w:rsid w:val="00F7689C"/>
    <w:rsid w:val="00F76AC9"/>
    <w:rsid w:val="00F76D50"/>
    <w:rsid w:val="00F76F55"/>
    <w:rsid w:val="00F8042B"/>
    <w:rsid w:val="00F807C2"/>
    <w:rsid w:val="00F8135C"/>
    <w:rsid w:val="00F8163B"/>
    <w:rsid w:val="00F8174A"/>
    <w:rsid w:val="00F817B1"/>
    <w:rsid w:val="00F81AFA"/>
    <w:rsid w:val="00F81BD5"/>
    <w:rsid w:val="00F81D12"/>
    <w:rsid w:val="00F81D17"/>
    <w:rsid w:val="00F821D4"/>
    <w:rsid w:val="00F825D5"/>
    <w:rsid w:val="00F8266D"/>
    <w:rsid w:val="00F83125"/>
    <w:rsid w:val="00F831F9"/>
    <w:rsid w:val="00F8320D"/>
    <w:rsid w:val="00F83BE7"/>
    <w:rsid w:val="00F83BF5"/>
    <w:rsid w:val="00F83EAD"/>
    <w:rsid w:val="00F852DB"/>
    <w:rsid w:val="00F8544E"/>
    <w:rsid w:val="00F857E2"/>
    <w:rsid w:val="00F85878"/>
    <w:rsid w:val="00F858D7"/>
    <w:rsid w:val="00F85A59"/>
    <w:rsid w:val="00F85B4F"/>
    <w:rsid w:val="00F8606C"/>
    <w:rsid w:val="00F86232"/>
    <w:rsid w:val="00F86547"/>
    <w:rsid w:val="00F86612"/>
    <w:rsid w:val="00F8669B"/>
    <w:rsid w:val="00F86C83"/>
    <w:rsid w:val="00F86CB2"/>
    <w:rsid w:val="00F86F39"/>
    <w:rsid w:val="00F872F2"/>
    <w:rsid w:val="00F878AE"/>
    <w:rsid w:val="00F9081F"/>
    <w:rsid w:val="00F909FE"/>
    <w:rsid w:val="00F90DF0"/>
    <w:rsid w:val="00F90E6C"/>
    <w:rsid w:val="00F912D1"/>
    <w:rsid w:val="00F91943"/>
    <w:rsid w:val="00F91D34"/>
    <w:rsid w:val="00F91F9B"/>
    <w:rsid w:val="00F92054"/>
    <w:rsid w:val="00F925F7"/>
    <w:rsid w:val="00F9274E"/>
    <w:rsid w:val="00F928B0"/>
    <w:rsid w:val="00F9296B"/>
    <w:rsid w:val="00F92AEB"/>
    <w:rsid w:val="00F92D02"/>
    <w:rsid w:val="00F9308D"/>
    <w:rsid w:val="00F93125"/>
    <w:rsid w:val="00F934AD"/>
    <w:rsid w:val="00F936B2"/>
    <w:rsid w:val="00F93859"/>
    <w:rsid w:val="00F93AE8"/>
    <w:rsid w:val="00F93B63"/>
    <w:rsid w:val="00F93C2F"/>
    <w:rsid w:val="00F94387"/>
    <w:rsid w:val="00F943AB"/>
    <w:rsid w:val="00F94446"/>
    <w:rsid w:val="00F948A6"/>
    <w:rsid w:val="00F94B2A"/>
    <w:rsid w:val="00F94F75"/>
    <w:rsid w:val="00F95268"/>
    <w:rsid w:val="00F9528E"/>
    <w:rsid w:val="00F95867"/>
    <w:rsid w:val="00F96821"/>
    <w:rsid w:val="00F96F40"/>
    <w:rsid w:val="00F96F6C"/>
    <w:rsid w:val="00FA0016"/>
    <w:rsid w:val="00FA058A"/>
    <w:rsid w:val="00FA059C"/>
    <w:rsid w:val="00FA0EFA"/>
    <w:rsid w:val="00FA12E3"/>
    <w:rsid w:val="00FA141D"/>
    <w:rsid w:val="00FA16E7"/>
    <w:rsid w:val="00FA18E4"/>
    <w:rsid w:val="00FA1AA8"/>
    <w:rsid w:val="00FA1CD7"/>
    <w:rsid w:val="00FA1D92"/>
    <w:rsid w:val="00FA2336"/>
    <w:rsid w:val="00FA2DC7"/>
    <w:rsid w:val="00FA2FAF"/>
    <w:rsid w:val="00FA33F4"/>
    <w:rsid w:val="00FA34D4"/>
    <w:rsid w:val="00FA35C4"/>
    <w:rsid w:val="00FA3873"/>
    <w:rsid w:val="00FA398A"/>
    <w:rsid w:val="00FA3F95"/>
    <w:rsid w:val="00FA414A"/>
    <w:rsid w:val="00FA4167"/>
    <w:rsid w:val="00FA41DF"/>
    <w:rsid w:val="00FA4265"/>
    <w:rsid w:val="00FA4460"/>
    <w:rsid w:val="00FA4595"/>
    <w:rsid w:val="00FA47DA"/>
    <w:rsid w:val="00FA4970"/>
    <w:rsid w:val="00FA49ED"/>
    <w:rsid w:val="00FA4C83"/>
    <w:rsid w:val="00FA4E2E"/>
    <w:rsid w:val="00FA4E5E"/>
    <w:rsid w:val="00FA5299"/>
    <w:rsid w:val="00FA58CC"/>
    <w:rsid w:val="00FA5922"/>
    <w:rsid w:val="00FA5D7E"/>
    <w:rsid w:val="00FA5ED6"/>
    <w:rsid w:val="00FA623B"/>
    <w:rsid w:val="00FA6602"/>
    <w:rsid w:val="00FA690E"/>
    <w:rsid w:val="00FA7183"/>
    <w:rsid w:val="00FA79A9"/>
    <w:rsid w:val="00FB0074"/>
    <w:rsid w:val="00FB017F"/>
    <w:rsid w:val="00FB0260"/>
    <w:rsid w:val="00FB02B6"/>
    <w:rsid w:val="00FB0BA2"/>
    <w:rsid w:val="00FB0C0F"/>
    <w:rsid w:val="00FB0D15"/>
    <w:rsid w:val="00FB1108"/>
    <w:rsid w:val="00FB1C5B"/>
    <w:rsid w:val="00FB1E91"/>
    <w:rsid w:val="00FB218D"/>
    <w:rsid w:val="00FB23B6"/>
    <w:rsid w:val="00FB243E"/>
    <w:rsid w:val="00FB2AF3"/>
    <w:rsid w:val="00FB2F98"/>
    <w:rsid w:val="00FB3DFD"/>
    <w:rsid w:val="00FB40B2"/>
    <w:rsid w:val="00FB467A"/>
    <w:rsid w:val="00FB46B2"/>
    <w:rsid w:val="00FB4944"/>
    <w:rsid w:val="00FB4CE8"/>
    <w:rsid w:val="00FB4E74"/>
    <w:rsid w:val="00FB52F5"/>
    <w:rsid w:val="00FB59C6"/>
    <w:rsid w:val="00FB7456"/>
    <w:rsid w:val="00FB76F3"/>
    <w:rsid w:val="00FB7B76"/>
    <w:rsid w:val="00FB7DAC"/>
    <w:rsid w:val="00FC015E"/>
    <w:rsid w:val="00FC0404"/>
    <w:rsid w:val="00FC07F8"/>
    <w:rsid w:val="00FC0B37"/>
    <w:rsid w:val="00FC0BF7"/>
    <w:rsid w:val="00FC1000"/>
    <w:rsid w:val="00FC1518"/>
    <w:rsid w:val="00FC1A56"/>
    <w:rsid w:val="00FC24D6"/>
    <w:rsid w:val="00FC2BB0"/>
    <w:rsid w:val="00FC2F6E"/>
    <w:rsid w:val="00FC3123"/>
    <w:rsid w:val="00FC3310"/>
    <w:rsid w:val="00FC36AC"/>
    <w:rsid w:val="00FC38A7"/>
    <w:rsid w:val="00FC4340"/>
    <w:rsid w:val="00FC4884"/>
    <w:rsid w:val="00FC4A18"/>
    <w:rsid w:val="00FC5144"/>
    <w:rsid w:val="00FC5485"/>
    <w:rsid w:val="00FC57AA"/>
    <w:rsid w:val="00FC5825"/>
    <w:rsid w:val="00FC5D1C"/>
    <w:rsid w:val="00FC5D1F"/>
    <w:rsid w:val="00FC5E18"/>
    <w:rsid w:val="00FC6ADA"/>
    <w:rsid w:val="00FC6BC7"/>
    <w:rsid w:val="00FC6BED"/>
    <w:rsid w:val="00FC6C42"/>
    <w:rsid w:val="00FC6E05"/>
    <w:rsid w:val="00FC6E1C"/>
    <w:rsid w:val="00FC75A1"/>
    <w:rsid w:val="00FC77C0"/>
    <w:rsid w:val="00FC788F"/>
    <w:rsid w:val="00FC7A98"/>
    <w:rsid w:val="00FC7B5F"/>
    <w:rsid w:val="00FC7D17"/>
    <w:rsid w:val="00FD0FB7"/>
    <w:rsid w:val="00FD1202"/>
    <w:rsid w:val="00FD12CB"/>
    <w:rsid w:val="00FD16C4"/>
    <w:rsid w:val="00FD2525"/>
    <w:rsid w:val="00FD25EC"/>
    <w:rsid w:val="00FD298D"/>
    <w:rsid w:val="00FD30A5"/>
    <w:rsid w:val="00FD321A"/>
    <w:rsid w:val="00FD32C7"/>
    <w:rsid w:val="00FD339C"/>
    <w:rsid w:val="00FD33B3"/>
    <w:rsid w:val="00FD34CF"/>
    <w:rsid w:val="00FD363E"/>
    <w:rsid w:val="00FD372A"/>
    <w:rsid w:val="00FD41B4"/>
    <w:rsid w:val="00FD43CA"/>
    <w:rsid w:val="00FD555F"/>
    <w:rsid w:val="00FD568B"/>
    <w:rsid w:val="00FD58A3"/>
    <w:rsid w:val="00FD5A70"/>
    <w:rsid w:val="00FD5B40"/>
    <w:rsid w:val="00FD7230"/>
    <w:rsid w:val="00FD744B"/>
    <w:rsid w:val="00FD76F2"/>
    <w:rsid w:val="00FD7816"/>
    <w:rsid w:val="00FD7961"/>
    <w:rsid w:val="00FD7EA7"/>
    <w:rsid w:val="00FE03BE"/>
    <w:rsid w:val="00FE0699"/>
    <w:rsid w:val="00FE083E"/>
    <w:rsid w:val="00FE096F"/>
    <w:rsid w:val="00FE0AE9"/>
    <w:rsid w:val="00FE0C57"/>
    <w:rsid w:val="00FE141C"/>
    <w:rsid w:val="00FE1766"/>
    <w:rsid w:val="00FE193F"/>
    <w:rsid w:val="00FE1AB2"/>
    <w:rsid w:val="00FE1FC4"/>
    <w:rsid w:val="00FE2043"/>
    <w:rsid w:val="00FE247B"/>
    <w:rsid w:val="00FE2532"/>
    <w:rsid w:val="00FE2607"/>
    <w:rsid w:val="00FE310C"/>
    <w:rsid w:val="00FE3199"/>
    <w:rsid w:val="00FE34CE"/>
    <w:rsid w:val="00FE3665"/>
    <w:rsid w:val="00FE374F"/>
    <w:rsid w:val="00FE3B00"/>
    <w:rsid w:val="00FE3D94"/>
    <w:rsid w:val="00FE3F74"/>
    <w:rsid w:val="00FE40AF"/>
    <w:rsid w:val="00FE4347"/>
    <w:rsid w:val="00FE4829"/>
    <w:rsid w:val="00FE4EC6"/>
    <w:rsid w:val="00FE524F"/>
    <w:rsid w:val="00FE564D"/>
    <w:rsid w:val="00FE5814"/>
    <w:rsid w:val="00FE5A29"/>
    <w:rsid w:val="00FE5A62"/>
    <w:rsid w:val="00FE625C"/>
    <w:rsid w:val="00FE63CE"/>
    <w:rsid w:val="00FE6523"/>
    <w:rsid w:val="00FE69FB"/>
    <w:rsid w:val="00FE6A02"/>
    <w:rsid w:val="00FE706D"/>
    <w:rsid w:val="00FE7326"/>
    <w:rsid w:val="00FE76AA"/>
    <w:rsid w:val="00FE7A28"/>
    <w:rsid w:val="00FF048A"/>
    <w:rsid w:val="00FF09F3"/>
    <w:rsid w:val="00FF0D79"/>
    <w:rsid w:val="00FF1125"/>
    <w:rsid w:val="00FF114E"/>
    <w:rsid w:val="00FF1251"/>
    <w:rsid w:val="00FF188F"/>
    <w:rsid w:val="00FF24ED"/>
    <w:rsid w:val="00FF2826"/>
    <w:rsid w:val="00FF30D2"/>
    <w:rsid w:val="00FF3114"/>
    <w:rsid w:val="00FF3205"/>
    <w:rsid w:val="00FF3425"/>
    <w:rsid w:val="00FF38AA"/>
    <w:rsid w:val="00FF3AF3"/>
    <w:rsid w:val="00FF4698"/>
    <w:rsid w:val="00FF46E3"/>
    <w:rsid w:val="00FF4906"/>
    <w:rsid w:val="00FF4941"/>
    <w:rsid w:val="00FF4F14"/>
    <w:rsid w:val="00FF60A4"/>
    <w:rsid w:val="00FF6123"/>
    <w:rsid w:val="00FF632C"/>
    <w:rsid w:val="00FF647A"/>
    <w:rsid w:val="00FF6E23"/>
    <w:rsid w:val="00FF7071"/>
    <w:rsid w:val="00FF7201"/>
    <w:rsid w:val="00FF73AF"/>
    <w:rsid w:val="00FF7E98"/>
    <w:rsid w:val="010C3DC8"/>
    <w:rsid w:val="01173F25"/>
    <w:rsid w:val="012460D6"/>
    <w:rsid w:val="012D1EBA"/>
    <w:rsid w:val="01305281"/>
    <w:rsid w:val="013C2EE1"/>
    <w:rsid w:val="01903926"/>
    <w:rsid w:val="01C4372D"/>
    <w:rsid w:val="01CE0184"/>
    <w:rsid w:val="01E65CA9"/>
    <w:rsid w:val="01FB23CB"/>
    <w:rsid w:val="020C74CB"/>
    <w:rsid w:val="02262316"/>
    <w:rsid w:val="024302FF"/>
    <w:rsid w:val="02586862"/>
    <w:rsid w:val="0267584C"/>
    <w:rsid w:val="026929FF"/>
    <w:rsid w:val="026D58F9"/>
    <w:rsid w:val="02723B91"/>
    <w:rsid w:val="028F7EED"/>
    <w:rsid w:val="02FC641A"/>
    <w:rsid w:val="031C7471"/>
    <w:rsid w:val="03310818"/>
    <w:rsid w:val="0331145C"/>
    <w:rsid w:val="034A5DFA"/>
    <w:rsid w:val="03610BEE"/>
    <w:rsid w:val="03AB484A"/>
    <w:rsid w:val="03B75A33"/>
    <w:rsid w:val="03C605E2"/>
    <w:rsid w:val="03F84B5F"/>
    <w:rsid w:val="04320F28"/>
    <w:rsid w:val="04580951"/>
    <w:rsid w:val="04A434FF"/>
    <w:rsid w:val="04E67960"/>
    <w:rsid w:val="04FB457C"/>
    <w:rsid w:val="05216888"/>
    <w:rsid w:val="056152FC"/>
    <w:rsid w:val="057709ED"/>
    <w:rsid w:val="05B66F2D"/>
    <w:rsid w:val="05BA50A8"/>
    <w:rsid w:val="05DB4B3E"/>
    <w:rsid w:val="0608614F"/>
    <w:rsid w:val="060D18FC"/>
    <w:rsid w:val="060F0AC9"/>
    <w:rsid w:val="061A48DB"/>
    <w:rsid w:val="06267A0E"/>
    <w:rsid w:val="062906D4"/>
    <w:rsid w:val="063C3E4E"/>
    <w:rsid w:val="065A50EE"/>
    <w:rsid w:val="0666789A"/>
    <w:rsid w:val="066B765A"/>
    <w:rsid w:val="0673590F"/>
    <w:rsid w:val="0692335B"/>
    <w:rsid w:val="06994D63"/>
    <w:rsid w:val="06BB7496"/>
    <w:rsid w:val="06C35E0F"/>
    <w:rsid w:val="06D45E42"/>
    <w:rsid w:val="06D93A15"/>
    <w:rsid w:val="06F05772"/>
    <w:rsid w:val="074B495B"/>
    <w:rsid w:val="076B24B8"/>
    <w:rsid w:val="07957731"/>
    <w:rsid w:val="07AB0528"/>
    <w:rsid w:val="07B305BA"/>
    <w:rsid w:val="07DF75F9"/>
    <w:rsid w:val="07E37A4A"/>
    <w:rsid w:val="07F36E6D"/>
    <w:rsid w:val="07F6399B"/>
    <w:rsid w:val="080055AF"/>
    <w:rsid w:val="083A26DD"/>
    <w:rsid w:val="087A3248"/>
    <w:rsid w:val="087E545A"/>
    <w:rsid w:val="08847C38"/>
    <w:rsid w:val="088B163E"/>
    <w:rsid w:val="08961C00"/>
    <w:rsid w:val="08B84D5E"/>
    <w:rsid w:val="08BC0F2F"/>
    <w:rsid w:val="08E908F8"/>
    <w:rsid w:val="08FB7186"/>
    <w:rsid w:val="09151180"/>
    <w:rsid w:val="095B7DEA"/>
    <w:rsid w:val="09DF3B71"/>
    <w:rsid w:val="09E37DC1"/>
    <w:rsid w:val="0A095984"/>
    <w:rsid w:val="0A1E3055"/>
    <w:rsid w:val="0A550002"/>
    <w:rsid w:val="0A681FE7"/>
    <w:rsid w:val="0A6C7F09"/>
    <w:rsid w:val="0A765FB8"/>
    <w:rsid w:val="0A960A6B"/>
    <w:rsid w:val="0AAE280A"/>
    <w:rsid w:val="0AB531DA"/>
    <w:rsid w:val="0AB760CF"/>
    <w:rsid w:val="0AB86B81"/>
    <w:rsid w:val="0ACE2BBA"/>
    <w:rsid w:val="0AE230E9"/>
    <w:rsid w:val="0AF43AE9"/>
    <w:rsid w:val="0B0D4E01"/>
    <w:rsid w:val="0B68355A"/>
    <w:rsid w:val="0BC07B6B"/>
    <w:rsid w:val="0BD4683E"/>
    <w:rsid w:val="0BDC3301"/>
    <w:rsid w:val="0BF84F03"/>
    <w:rsid w:val="0BFF145C"/>
    <w:rsid w:val="0C012DF4"/>
    <w:rsid w:val="0C11535C"/>
    <w:rsid w:val="0C28597F"/>
    <w:rsid w:val="0C3238AD"/>
    <w:rsid w:val="0C881A3E"/>
    <w:rsid w:val="0C89471E"/>
    <w:rsid w:val="0C93502E"/>
    <w:rsid w:val="0C9A6B49"/>
    <w:rsid w:val="0C9F46C4"/>
    <w:rsid w:val="0CB31DA3"/>
    <w:rsid w:val="0CC07ADC"/>
    <w:rsid w:val="0CCB0A0B"/>
    <w:rsid w:val="0D5B100D"/>
    <w:rsid w:val="0D7C3FDA"/>
    <w:rsid w:val="0D803E87"/>
    <w:rsid w:val="0D9672B4"/>
    <w:rsid w:val="0DBD6193"/>
    <w:rsid w:val="0DCC70A0"/>
    <w:rsid w:val="0DEF3954"/>
    <w:rsid w:val="0E020F1E"/>
    <w:rsid w:val="0E064F10"/>
    <w:rsid w:val="0E103EE1"/>
    <w:rsid w:val="0E183F30"/>
    <w:rsid w:val="0E516288"/>
    <w:rsid w:val="0E52758D"/>
    <w:rsid w:val="0E637AC1"/>
    <w:rsid w:val="0E6F0BB9"/>
    <w:rsid w:val="0E8B61B8"/>
    <w:rsid w:val="0EBE46BE"/>
    <w:rsid w:val="0EDC3B92"/>
    <w:rsid w:val="0EE71834"/>
    <w:rsid w:val="0EFF66B2"/>
    <w:rsid w:val="0F3052AD"/>
    <w:rsid w:val="0F375318"/>
    <w:rsid w:val="0F455F99"/>
    <w:rsid w:val="0F4E7070"/>
    <w:rsid w:val="0F4F445E"/>
    <w:rsid w:val="0F9871F6"/>
    <w:rsid w:val="0FB23959"/>
    <w:rsid w:val="10195558"/>
    <w:rsid w:val="108465A8"/>
    <w:rsid w:val="10DA0122"/>
    <w:rsid w:val="10DD386D"/>
    <w:rsid w:val="10E82A49"/>
    <w:rsid w:val="10F33A73"/>
    <w:rsid w:val="11667084"/>
    <w:rsid w:val="116C7D25"/>
    <w:rsid w:val="11807745"/>
    <w:rsid w:val="120E3AA6"/>
    <w:rsid w:val="12207F83"/>
    <w:rsid w:val="122F73AB"/>
    <w:rsid w:val="1239240D"/>
    <w:rsid w:val="124D3615"/>
    <w:rsid w:val="12742E7F"/>
    <w:rsid w:val="12A12C84"/>
    <w:rsid w:val="12A80AB5"/>
    <w:rsid w:val="12C40B2A"/>
    <w:rsid w:val="12E54A8E"/>
    <w:rsid w:val="13035307"/>
    <w:rsid w:val="13072473"/>
    <w:rsid w:val="135D06EF"/>
    <w:rsid w:val="136542E5"/>
    <w:rsid w:val="13930689"/>
    <w:rsid w:val="139A78D6"/>
    <w:rsid w:val="13BF21F2"/>
    <w:rsid w:val="13C86117"/>
    <w:rsid w:val="13D247D6"/>
    <w:rsid w:val="13E0554B"/>
    <w:rsid w:val="144C7232"/>
    <w:rsid w:val="14502D35"/>
    <w:rsid w:val="145D2E1E"/>
    <w:rsid w:val="148A505C"/>
    <w:rsid w:val="1496786E"/>
    <w:rsid w:val="14A54BBB"/>
    <w:rsid w:val="14AE4079"/>
    <w:rsid w:val="14E7242D"/>
    <w:rsid w:val="14EE06E6"/>
    <w:rsid w:val="14EE1096"/>
    <w:rsid w:val="154A2A8E"/>
    <w:rsid w:val="155B5497"/>
    <w:rsid w:val="155C7E79"/>
    <w:rsid w:val="155F0FC5"/>
    <w:rsid w:val="15623CD3"/>
    <w:rsid w:val="159E746A"/>
    <w:rsid w:val="15B63BDF"/>
    <w:rsid w:val="15D03EC9"/>
    <w:rsid w:val="15F05737"/>
    <w:rsid w:val="16057252"/>
    <w:rsid w:val="160D4C71"/>
    <w:rsid w:val="16146550"/>
    <w:rsid w:val="162874EE"/>
    <w:rsid w:val="166B10EB"/>
    <w:rsid w:val="167525D8"/>
    <w:rsid w:val="16BA66D8"/>
    <w:rsid w:val="16C8102E"/>
    <w:rsid w:val="16C96AA9"/>
    <w:rsid w:val="16DD51EB"/>
    <w:rsid w:val="17003680"/>
    <w:rsid w:val="17035A87"/>
    <w:rsid w:val="172873A5"/>
    <w:rsid w:val="172877BE"/>
    <w:rsid w:val="174156B7"/>
    <w:rsid w:val="175C7AA4"/>
    <w:rsid w:val="17705711"/>
    <w:rsid w:val="17A51B58"/>
    <w:rsid w:val="17CF063B"/>
    <w:rsid w:val="18246598"/>
    <w:rsid w:val="183439D2"/>
    <w:rsid w:val="18361C29"/>
    <w:rsid w:val="1846101F"/>
    <w:rsid w:val="18484BE5"/>
    <w:rsid w:val="18531EAA"/>
    <w:rsid w:val="1866385F"/>
    <w:rsid w:val="187131DE"/>
    <w:rsid w:val="1889549D"/>
    <w:rsid w:val="18952E2A"/>
    <w:rsid w:val="189E1FEC"/>
    <w:rsid w:val="18E22A7F"/>
    <w:rsid w:val="19044FFE"/>
    <w:rsid w:val="191F5B11"/>
    <w:rsid w:val="19271B5F"/>
    <w:rsid w:val="192C0073"/>
    <w:rsid w:val="193B4347"/>
    <w:rsid w:val="193B5E18"/>
    <w:rsid w:val="199C4212"/>
    <w:rsid w:val="19CC3B10"/>
    <w:rsid w:val="19E566E1"/>
    <w:rsid w:val="19F54D56"/>
    <w:rsid w:val="1A0C139B"/>
    <w:rsid w:val="1A1041D0"/>
    <w:rsid w:val="1A38797D"/>
    <w:rsid w:val="1A3B0898"/>
    <w:rsid w:val="1A4E2658"/>
    <w:rsid w:val="1A5B343C"/>
    <w:rsid w:val="1A5C4CE0"/>
    <w:rsid w:val="1A6714F0"/>
    <w:rsid w:val="1AC65AB0"/>
    <w:rsid w:val="1ACE10CB"/>
    <w:rsid w:val="1AFF3B27"/>
    <w:rsid w:val="1B0165A8"/>
    <w:rsid w:val="1B141344"/>
    <w:rsid w:val="1B1C4F72"/>
    <w:rsid w:val="1B836071"/>
    <w:rsid w:val="1B9C5B8F"/>
    <w:rsid w:val="1BBD1279"/>
    <w:rsid w:val="1BC80D1D"/>
    <w:rsid w:val="1BE359AA"/>
    <w:rsid w:val="1BF15613"/>
    <w:rsid w:val="1BF95C13"/>
    <w:rsid w:val="1C162CB2"/>
    <w:rsid w:val="1C5420F6"/>
    <w:rsid w:val="1C655BF9"/>
    <w:rsid w:val="1C656C23"/>
    <w:rsid w:val="1C905A43"/>
    <w:rsid w:val="1C9B12FC"/>
    <w:rsid w:val="1CD33A7B"/>
    <w:rsid w:val="1CDB5968"/>
    <w:rsid w:val="1CFF6E22"/>
    <w:rsid w:val="1D4C0F6C"/>
    <w:rsid w:val="1D564156"/>
    <w:rsid w:val="1D695896"/>
    <w:rsid w:val="1D761F46"/>
    <w:rsid w:val="1D9579D1"/>
    <w:rsid w:val="1DA438BB"/>
    <w:rsid w:val="1DB6156E"/>
    <w:rsid w:val="1DB922ED"/>
    <w:rsid w:val="1DC37FD8"/>
    <w:rsid w:val="1DCD0A49"/>
    <w:rsid w:val="1DEC1F22"/>
    <w:rsid w:val="1DFB4CC4"/>
    <w:rsid w:val="1E1D3C31"/>
    <w:rsid w:val="1E422931"/>
    <w:rsid w:val="1E490013"/>
    <w:rsid w:val="1E6043C3"/>
    <w:rsid w:val="1E876E71"/>
    <w:rsid w:val="1EAE6B82"/>
    <w:rsid w:val="1EB95ADA"/>
    <w:rsid w:val="1EE559BD"/>
    <w:rsid w:val="1EF21AA4"/>
    <w:rsid w:val="1EFB5963"/>
    <w:rsid w:val="1F0C42E4"/>
    <w:rsid w:val="1F2D4AF4"/>
    <w:rsid w:val="1F653BC4"/>
    <w:rsid w:val="1F6B1EAA"/>
    <w:rsid w:val="1F791186"/>
    <w:rsid w:val="1FDF1459"/>
    <w:rsid w:val="1FEA77EA"/>
    <w:rsid w:val="1FF90F15"/>
    <w:rsid w:val="20201EC2"/>
    <w:rsid w:val="20213A07"/>
    <w:rsid w:val="2027517D"/>
    <w:rsid w:val="202C4F51"/>
    <w:rsid w:val="20505E25"/>
    <w:rsid w:val="205C3C8B"/>
    <w:rsid w:val="2087368B"/>
    <w:rsid w:val="20895183"/>
    <w:rsid w:val="20963186"/>
    <w:rsid w:val="20A33ADE"/>
    <w:rsid w:val="20A95406"/>
    <w:rsid w:val="20D030B1"/>
    <w:rsid w:val="20E21F80"/>
    <w:rsid w:val="20E53650"/>
    <w:rsid w:val="20F7749C"/>
    <w:rsid w:val="20FF16CA"/>
    <w:rsid w:val="215B3FC8"/>
    <w:rsid w:val="21691BBE"/>
    <w:rsid w:val="217F078E"/>
    <w:rsid w:val="21C10C7C"/>
    <w:rsid w:val="21DE311D"/>
    <w:rsid w:val="21E537E5"/>
    <w:rsid w:val="21F845F6"/>
    <w:rsid w:val="220E0B14"/>
    <w:rsid w:val="22296777"/>
    <w:rsid w:val="224B66A7"/>
    <w:rsid w:val="22552A22"/>
    <w:rsid w:val="22564099"/>
    <w:rsid w:val="227F7FCB"/>
    <w:rsid w:val="22AD6870"/>
    <w:rsid w:val="22C16F92"/>
    <w:rsid w:val="22E152C9"/>
    <w:rsid w:val="22E61897"/>
    <w:rsid w:val="22E84D79"/>
    <w:rsid w:val="22F52E8E"/>
    <w:rsid w:val="23000C79"/>
    <w:rsid w:val="231142B2"/>
    <w:rsid w:val="231336BF"/>
    <w:rsid w:val="23187668"/>
    <w:rsid w:val="232E2CCE"/>
    <w:rsid w:val="232E7B6C"/>
    <w:rsid w:val="2359040B"/>
    <w:rsid w:val="23696911"/>
    <w:rsid w:val="2373789D"/>
    <w:rsid w:val="237A63C1"/>
    <w:rsid w:val="238559D1"/>
    <w:rsid w:val="238A1F04"/>
    <w:rsid w:val="23906366"/>
    <w:rsid w:val="239A46F7"/>
    <w:rsid w:val="23B159D2"/>
    <w:rsid w:val="23F56624"/>
    <w:rsid w:val="240475F6"/>
    <w:rsid w:val="240B47A7"/>
    <w:rsid w:val="240D2C22"/>
    <w:rsid w:val="242001D4"/>
    <w:rsid w:val="24335B6F"/>
    <w:rsid w:val="24727AFD"/>
    <w:rsid w:val="24841762"/>
    <w:rsid w:val="24A65B88"/>
    <w:rsid w:val="24A92931"/>
    <w:rsid w:val="24FC0309"/>
    <w:rsid w:val="25232782"/>
    <w:rsid w:val="25423CF5"/>
    <w:rsid w:val="254B7F29"/>
    <w:rsid w:val="25805CF6"/>
    <w:rsid w:val="25A544C3"/>
    <w:rsid w:val="25AE66E1"/>
    <w:rsid w:val="25AF4F3F"/>
    <w:rsid w:val="25CC74FE"/>
    <w:rsid w:val="25E30B18"/>
    <w:rsid w:val="25F62496"/>
    <w:rsid w:val="25F70640"/>
    <w:rsid w:val="26105100"/>
    <w:rsid w:val="26384E6D"/>
    <w:rsid w:val="263B1D4C"/>
    <w:rsid w:val="26630CBB"/>
    <w:rsid w:val="268F152F"/>
    <w:rsid w:val="26967589"/>
    <w:rsid w:val="26C407C3"/>
    <w:rsid w:val="26E95A17"/>
    <w:rsid w:val="26F204AC"/>
    <w:rsid w:val="271A4FE1"/>
    <w:rsid w:val="27546939"/>
    <w:rsid w:val="27654C02"/>
    <w:rsid w:val="27695A5B"/>
    <w:rsid w:val="27760D48"/>
    <w:rsid w:val="278B23EE"/>
    <w:rsid w:val="27AD03A5"/>
    <w:rsid w:val="27AF712B"/>
    <w:rsid w:val="27B84E40"/>
    <w:rsid w:val="27EB7369"/>
    <w:rsid w:val="27FA1191"/>
    <w:rsid w:val="28114AB6"/>
    <w:rsid w:val="28233866"/>
    <w:rsid w:val="282B45A3"/>
    <w:rsid w:val="282B45DB"/>
    <w:rsid w:val="28623FBB"/>
    <w:rsid w:val="28707C5E"/>
    <w:rsid w:val="289C7AEA"/>
    <w:rsid w:val="28CF09D8"/>
    <w:rsid w:val="28D14C84"/>
    <w:rsid w:val="28ED266F"/>
    <w:rsid w:val="292128E0"/>
    <w:rsid w:val="29227BDF"/>
    <w:rsid w:val="293272A7"/>
    <w:rsid w:val="295D49B6"/>
    <w:rsid w:val="29B8002B"/>
    <w:rsid w:val="29CE0108"/>
    <w:rsid w:val="2A0A5BA3"/>
    <w:rsid w:val="2A0C1188"/>
    <w:rsid w:val="2A21112E"/>
    <w:rsid w:val="2A213088"/>
    <w:rsid w:val="2A2C74BF"/>
    <w:rsid w:val="2A2D713F"/>
    <w:rsid w:val="2A4C79FC"/>
    <w:rsid w:val="2A771410"/>
    <w:rsid w:val="2A8524ED"/>
    <w:rsid w:val="2A903A54"/>
    <w:rsid w:val="2A9B4889"/>
    <w:rsid w:val="2AA219DA"/>
    <w:rsid w:val="2AB3069D"/>
    <w:rsid w:val="2AB925A6"/>
    <w:rsid w:val="2AD32757"/>
    <w:rsid w:val="2AEE2F71"/>
    <w:rsid w:val="2B4405A1"/>
    <w:rsid w:val="2B7042D3"/>
    <w:rsid w:val="2B9E375A"/>
    <w:rsid w:val="2BAC2563"/>
    <w:rsid w:val="2BBE3507"/>
    <w:rsid w:val="2BC74CE2"/>
    <w:rsid w:val="2BD64778"/>
    <w:rsid w:val="2BE30280"/>
    <w:rsid w:val="2BEC2464"/>
    <w:rsid w:val="2BF2349C"/>
    <w:rsid w:val="2BF47386"/>
    <w:rsid w:val="2BFF4E3C"/>
    <w:rsid w:val="2C0A6A50"/>
    <w:rsid w:val="2C0F4809"/>
    <w:rsid w:val="2C144DE1"/>
    <w:rsid w:val="2C1A17C8"/>
    <w:rsid w:val="2C355D1C"/>
    <w:rsid w:val="2C407CD6"/>
    <w:rsid w:val="2C6A1D3B"/>
    <w:rsid w:val="2C746349"/>
    <w:rsid w:val="2C9E2370"/>
    <w:rsid w:val="2CC52E00"/>
    <w:rsid w:val="2CCE56D3"/>
    <w:rsid w:val="2CDE4047"/>
    <w:rsid w:val="2CE341B5"/>
    <w:rsid w:val="2CE576B8"/>
    <w:rsid w:val="2CFA4D9C"/>
    <w:rsid w:val="2D0568E8"/>
    <w:rsid w:val="2D0B746C"/>
    <w:rsid w:val="2D0C011C"/>
    <w:rsid w:val="2D0F4C79"/>
    <w:rsid w:val="2D234D51"/>
    <w:rsid w:val="2D341404"/>
    <w:rsid w:val="2D4437BB"/>
    <w:rsid w:val="2D4A5959"/>
    <w:rsid w:val="2D534AF3"/>
    <w:rsid w:val="2D9B3963"/>
    <w:rsid w:val="2DCA0025"/>
    <w:rsid w:val="2DD246EC"/>
    <w:rsid w:val="2E0F3505"/>
    <w:rsid w:val="2E1E06B9"/>
    <w:rsid w:val="2E3E7B8B"/>
    <w:rsid w:val="2E7446C7"/>
    <w:rsid w:val="2E7E3852"/>
    <w:rsid w:val="2E7F3BD6"/>
    <w:rsid w:val="2E9A080D"/>
    <w:rsid w:val="2F107A97"/>
    <w:rsid w:val="2F2555E4"/>
    <w:rsid w:val="2F2D4FF3"/>
    <w:rsid w:val="2F4627CA"/>
    <w:rsid w:val="2F583BB4"/>
    <w:rsid w:val="2F6A2D64"/>
    <w:rsid w:val="2F9C0B2A"/>
    <w:rsid w:val="2FA153BC"/>
    <w:rsid w:val="2FB833D1"/>
    <w:rsid w:val="2FC24475"/>
    <w:rsid w:val="2FD45DAF"/>
    <w:rsid w:val="2FF1118E"/>
    <w:rsid w:val="30110AE9"/>
    <w:rsid w:val="3025791A"/>
    <w:rsid w:val="303B65EC"/>
    <w:rsid w:val="303D06F2"/>
    <w:rsid w:val="30500424"/>
    <w:rsid w:val="307C5EFC"/>
    <w:rsid w:val="30832D5E"/>
    <w:rsid w:val="3088782E"/>
    <w:rsid w:val="309A7486"/>
    <w:rsid w:val="30A957E4"/>
    <w:rsid w:val="30C93B1B"/>
    <w:rsid w:val="30CA373F"/>
    <w:rsid w:val="30D76021"/>
    <w:rsid w:val="30F978F2"/>
    <w:rsid w:val="31041376"/>
    <w:rsid w:val="3143711F"/>
    <w:rsid w:val="31614F93"/>
    <w:rsid w:val="317009B7"/>
    <w:rsid w:val="31814AA4"/>
    <w:rsid w:val="31B65532"/>
    <w:rsid w:val="31E35179"/>
    <w:rsid w:val="31E72EBD"/>
    <w:rsid w:val="31F72885"/>
    <w:rsid w:val="320E0CFB"/>
    <w:rsid w:val="32136FB5"/>
    <w:rsid w:val="32320570"/>
    <w:rsid w:val="326E20AA"/>
    <w:rsid w:val="327C0CFF"/>
    <w:rsid w:val="32A01C6A"/>
    <w:rsid w:val="32AA1CDF"/>
    <w:rsid w:val="32D74864"/>
    <w:rsid w:val="32DE3FC0"/>
    <w:rsid w:val="32EA5FFE"/>
    <w:rsid w:val="32F362A6"/>
    <w:rsid w:val="3305109E"/>
    <w:rsid w:val="33271FD6"/>
    <w:rsid w:val="33313C8A"/>
    <w:rsid w:val="335331C4"/>
    <w:rsid w:val="33845CC2"/>
    <w:rsid w:val="339616AF"/>
    <w:rsid w:val="339616E8"/>
    <w:rsid w:val="34051E63"/>
    <w:rsid w:val="341C3869"/>
    <w:rsid w:val="343814C1"/>
    <w:rsid w:val="3462287B"/>
    <w:rsid w:val="34791678"/>
    <w:rsid w:val="347F06AD"/>
    <w:rsid w:val="34D24F2C"/>
    <w:rsid w:val="34D34555"/>
    <w:rsid w:val="352C039D"/>
    <w:rsid w:val="354748F9"/>
    <w:rsid w:val="355344F4"/>
    <w:rsid w:val="356154A3"/>
    <w:rsid w:val="35656B84"/>
    <w:rsid w:val="357E6FD1"/>
    <w:rsid w:val="358623D8"/>
    <w:rsid w:val="35A10214"/>
    <w:rsid w:val="35C07A3B"/>
    <w:rsid w:val="35EE7C61"/>
    <w:rsid w:val="36132FF2"/>
    <w:rsid w:val="362A1B88"/>
    <w:rsid w:val="365B74CD"/>
    <w:rsid w:val="36820DFD"/>
    <w:rsid w:val="369E5FB6"/>
    <w:rsid w:val="36B45246"/>
    <w:rsid w:val="37504585"/>
    <w:rsid w:val="37730210"/>
    <w:rsid w:val="37860A70"/>
    <w:rsid w:val="378E3723"/>
    <w:rsid w:val="37B677F7"/>
    <w:rsid w:val="37CA3313"/>
    <w:rsid w:val="37E14320"/>
    <w:rsid w:val="38122DB7"/>
    <w:rsid w:val="382124ED"/>
    <w:rsid w:val="38402058"/>
    <w:rsid w:val="389B3D9C"/>
    <w:rsid w:val="38A719B1"/>
    <w:rsid w:val="38B4617F"/>
    <w:rsid w:val="38DB55EB"/>
    <w:rsid w:val="38DC679A"/>
    <w:rsid w:val="392062C9"/>
    <w:rsid w:val="39440601"/>
    <w:rsid w:val="394741E7"/>
    <w:rsid w:val="39502022"/>
    <w:rsid w:val="397512B4"/>
    <w:rsid w:val="39D26F6B"/>
    <w:rsid w:val="3A2260D3"/>
    <w:rsid w:val="3A433A2D"/>
    <w:rsid w:val="3A4536FB"/>
    <w:rsid w:val="3A49242D"/>
    <w:rsid w:val="3A5D0F41"/>
    <w:rsid w:val="3A6036D7"/>
    <w:rsid w:val="3A625555"/>
    <w:rsid w:val="3A625A99"/>
    <w:rsid w:val="3A7E18DA"/>
    <w:rsid w:val="3A8A2E97"/>
    <w:rsid w:val="3ACE450B"/>
    <w:rsid w:val="3AE138A5"/>
    <w:rsid w:val="3B422EAA"/>
    <w:rsid w:val="3B452578"/>
    <w:rsid w:val="3B655042"/>
    <w:rsid w:val="3B7016E2"/>
    <w:rsid w:val="3B8E0546"/>
    <w:rsid w:val="3B8E4CC3"/>
    <w:rsid w:val="3BA61106"/>
    <w:rsid w:val="3BA7366E"/>
    <w:rsid w:val="3BA87401"/>
    <w:rsid w:val="3BAA450D"/>
    <w:rsid w:val="3BC5739B"/>
    <w:rsid w:val="3C034A67"/>
    <w:rsid w:val="3C135D63"/>
    <w:rsid w:val="3C145982"/>
    <w:rsid w:val="3C1A526D"/>
    <w:rsid w:val="3C233888"/>
    <w:rsid w:val="3C274F7D"/>
    <w:rsid w:val="3C4772D1"/>
    <w:rsid w:val="3C535D05"/>
    <w:rsid w:val="3C71272F"/>
    <w:rsid w:val="3C80370F"/>
    <w:rsid w:val="3C81681F"/>
    <w:rsid w:val="3C866833"/>
    <w:rsid w:val="3CC528F8"/>
    <w:rsid w:val="3D0A2270"/>
    <w:rsid w:val="3D114A1B"/>
    <w:rsid w:val="3D415DAA"/>
    <w:rsid w:val="3D66226D"/>
    <w:rsid w:val="3DAD4CBD"/>
    <w:rsid w:val="3DEB227E"/>
    <w:rsid w:val="3DF230D4"/>
    <w:rsid w:val="3E026D8E"/>
    <w:rsid w:val="3E235F81"/>
    <w:rsid w:val="3E65446C"/>
    <w:rsid w:val="3E7864F5"/>
    <w:rsid w:val="3E8F47B2"/>
    <w:rsid w:val="3E9375FB"/>
    <w:rsid w:val="3E9757C8"/>
    <w:rsid w:val="3EA823C4"/>
    <w:rsid w:val="3EBC4E7A"/>
    <w:rsid w:val="3EDC6A7E"/>
    <w:rsid w:val="3EDE2E31"/>
    <w:rsid w:val="3EF01E51"/>
    <w:rsid w:val="3F2546FD"/>
    <w:rsid w:val="3F4A7F61"/>
    <w:rsid w:val="3F6A3CA9"/>
    <w:rsid w:val="3F715871"/>
    <w:rsid w:val="3F7741BC"/>
    <w:rsid w:val="3F813C6F"/>
    <w:rsid w:val="3F9109B2"/>
    <w:rsid w:val="3FBE54BB"/>
    <w:rsid w:val="3FC26926"/>
    <w:rsid w:val="3FF7137F"/>
    <w:rsid w:val="3FF74C02"/>
    <w:rsid w:val="3FFE6CF3"/>
    <w:rsid w:val="402478C4"/>
    <w:rsid w:val="40276B66"/>
    <w:rsid w:val="404339FD"/>
    <w:rsid w:val="40A813D7"/>
    <w:rsid w:val="41343292"/>
    <w:rsid w:val="414F57B5"/>
    <w:rsid w:val="41896292"/>
    <w:rsid w:val="419E1796"/>
    <w:rsid w:val="41BC1B32"/>
    <w:rsid w:val="41C84FFB"/>
    <w:rsid w:val="41CB78AE"/>
    <w:rsid w:val="41F56C46"/>
    <w:rsid w:val="42326B3E"/>
    <w:rsid w:val="423353A5"/>
    <w:rsid w:val="425F6713"/>
    <w:rsid w:val="426339F7"/>
    <w:rsid w:val="42672285"/>
    <w:rsid w:val="426A4C97"/>
    <w:rsid w:val="428C263D"/>
    <w:rsid w:val="428F3C9B"/>
    <w:rsid w:val="42A76ED2"/>
    <w:rsid w:val="42C97D82"/>
    <w:rsid w:val="42E73C50"/>
    <w:rsid w:val="431B16D1"/>
    <w:rsid w:val="43496273"/>
    <w:rsid w:val="434E5517"/>
    <w:rsid w:val="436B7BD2"/>
    <w:rsid w:val="43806A6D"/>
    <w:rsid w:val="4395506D"/>
    <w:rsid w:val="43B52C3F"/>
    <w:rsid w:val="43B63024"/>
    <w:rsid w:val="43BF215A"/>
    <w:rsid w:val="43FA2C25"/>
    <w:rsid w:val="44021B86"/>
    <w:rsid w:val="4402726F"/>
    <w:rsid w:val="440F39B5"/>
    <w:rsid w:val="441D30EE"/>
    <w:rsid w:val="441F4FD2"/>
    <w:rsid w:val="445676AA"/>
    <w:rsid w:val="445E6748"/>
    <w:rsid w:val="44874C26"/>
    <w:rsid w:val="44AE15FB"/>
    <w:rsid w:val="44CC63EF"/>
    <w:rsid w:val="44CF2A87"/>
    <w:rsid w:val="44DF0ADA"/>
    <w:rsid w:val="44ED0F7B"/>
    <w:rsid w:val="44F24FAA"/>
    <w:rsid w:val="45242460"/>
    <w:rsid w:val="452D1082"/>
    <w:rsid w:val="452F4E0F"/>
    <w:rsid w:val="45303FFD"/>
    <w:rsid w:val="45375A9E"/>
    <w:rsid w:val="45462E22"/>
    <w:rsid w:val="454825BA"/>
    <w:rsid w:val="45483083"/>
    <w:rsid w:val="45554D01"/>
    <w:rsid w:val="45B34C52"/>
    <w:rsid w:val="45D8469E"/>
    <w:rsid w:val="461030A1"/>
    <w:rsid w:val="46534F71"/>
    <w:rsid w:val="46691693"/>
    <w:rsid w:val="466D3F19"/>
    <w:rsid w:val="466E05DB"/>
    <w:rsid w:val="46B61DC6"/>
    <w:rsid w:val="46CD76A0"/>
    <w:rsid w:val="46D851CA"/>
    <w:rsid w:val="46DB312F"/>
    <w:rsid w:val="46EF74B5"/>
    <w:rsid w:val="46F6477A"/>
    <w:rsid w:val="47012C69"/>
    <w:rsid w:val="474E4F91"/>
    <w:rsid w:val="47683236"/>
    <w:rsid w:val="476F4E97"/>
    <w:rsid w:val="4792149B"/>
    <w:rsid w:val="479403D3"/>
    <w:rsid w:val="479E16E9"/>
    <w:rsid w:val="47AB339D"/>
    <w:rsid w:val="47F37466"/>
    <w:rsid w:val="481316CF"/>
    <w:rsid w:val="4844700D"/>
    <w:rsid w:val="485A6C09"/>
    <w:rsid w:val="485B7906"/>
    <w:rsid w:val="485C5346"/>
    <w:rsid w:val="485F729E"/>
    <w:rsid w:val="48664ECA"/>
    <w:rsid w:val="489D5DB0"/>
    <w:rsid w:val="48A41671"/>
    <w:rsid w:val="48C56C46"/>
    <w:rsid w:val="48F524C3"/>
    <w:rsid w:val="49063399"/>
    <w:rsid w:val="49346CDB"/>
    <w:rsid w:val="494353DA"/>
    <w:rsid w:val="494D0A1B"/>
    <w:rsid w:val="495E608D"/>
    <w:rsid w:val="49626DF3"/>
    <w:rsid w:val="496332E1"/>
    <w:rsid w:val="49825129"/>
    <w:rsid w:val="498C17C2"/>
    <w:rsid w:val="49A914D2"/>
    <w:rsid w:val="49AC3DC7"/>
    <w:rsid w:val="49CD6B82"/>
    <w:rsid w:val="49D131AD"/>
    <w:rsid w:val="49E33EC9"/>
    <w:rsid w:val="4A397023"/>
    <w:rsid w:val="4A4327A2"/>
    <w:rsid w:val="4A883ACF"/>
    <w:rsid w:val="4A927A03"/>
    <w:rsid w:val="4ACF66C7"/>
    <w:rsid w:val="4ADD1083"/>
    <w:rsid w:val="4B6B5956"/>
    <w:rsid w:val="4B92354A"/>
    <w:rsid w:val="4BA70B75"/>
    <w:rsid w:val="4BAB16BA"/>
    <w:rsid w:val="4BB33D3E"/>
    <w:rsid w:val="4BC17EEB"/>
    <w:rsid w:val="4BE913C3"/>
    <w:rsid w:val="4BE96555"/>
    <w:rsid w:val="4BF431C0"/>
    <w:rsid w:val="4C11295A"/>
    <w:rsid w:val="4C650411"/>
    <w:rsid w:val="4C855396"/>
    <w:rsid w:val="4C8F5918"/>
    <w:rsid w:val="4C906FAA"/>
    <w:rsid w:val="4CD65EFE"/>
    <w:rsid w:val="4D0343CC"/>
    <w:rsid w:val="4D093C41"/>
    <w:rsid w:val="4D0A5610"/>
    <w:rsid w:val="4D2607A2"/>
    <w:rsid w:val="4D4418D5"/>
    <w:rsid w:val="4D5B7550"/>
    <w:rsid w:val="4D5E3158"/>
    <w:rsid w:val="4D7E0E31"/>
    <w:rsid w:val="4D862F43"/>
    <w:rsid w:val="4DAD5785"/>
    <w:rsid w:val="4DBC06AF"/>
    <w:rsid w:val="4E005F07"/>
    <w:rsid w:val="4E08345C"/>
    <w:rsid w:val="4E732561"/>
    <w:rsid w:val="4E743683"/>
    <w:rsid w:val="4E781049"/>
    <w:rsid w:val="4E8F49B3"/>
    <w:rsid w:val="4E9A0A7E"/>
    <w:rsid w:val="4EBC506D"/>
    <w:rsid w:val="4EBF6DE3"/>
    <w:rsid w:val="4EC436C7"/>
    <w:rsid w:val="4EE751EE"/>
    <w:rsid w:val="4EEB4344"/>
    <w:rsid w:val="4EF9611F"/>
    <w:rsid w:val="4F0F0D9D"/>
    <w:rsid w:val="4F1A3941"/>
    <w:rsid w:val="4F3007F7"/>
    <w:rsid w:val="4F6B2A6C"/>
    <w:rsid w:val="4F6C2E2E"/>
    <w:rsid w:val="4FCA4296"/>
    <w:rsid w:val="50294293"/>
    <w:rsid w:val="50364289"/>
    <w:rsid w:val="50456AAB"/>
    <w:rsid w:val="50542153"/>
    <w:rsid w:val="508B3032"/>
    <w:rsid w:val="50AC0FE9"/>
    <w:rsid w:val="50B7737A"/>
    <w:rsid w:val="50DD663C"/>
    <w:rsid w:val="50DE2C93"/>
    <w:rsid w:val="50E0567A"/>
    <w:rsid w:val="50E416C0"/>
    <w:rsid w:val="510319F7"/>
    <w:rsid w:val="512F12B8"/>
    <w:rsid w:val="51332B7D"/>
    <w:rsid w:val="5135691E"/>
    <w:rsid w:val="5144081E"/>
    <w:rsid w:val="51640797"/>
    <w:rsid w:val="518F3EBD"/>
    <w:rsid w:val="5193291C"/>
    <w:rsid w:val="51984A8C"/>
    <w:rsid w:val="51AD7406"/>
    <w:rsid w:val="51CB7417"/>
    <w:rsid w:val="51D058C8"/>
    <w:rsid w:val="51DB3E42"/>
    <w:rsid w:val="52007679"/>
    <w:rsid w:val="521C5C87"/>
    <w:rsid w:val="52277703"/>
    <w:rsid w:val="522D0130"/>
    <w:rsid w:val="523E5EFC"/>
    <w:rsid w:val="5268397E"/>
    <w:rsid w:val="529759AE"/>
    <w:rsid w:val="529A5C05"/>
    <w:rsid w:val="52A10418"/>
    <w:rsid w:val="52A73125"/>
    <w:rsid w:val="52CA1363"/>
    <w:rsid w:val="52EE281C"/>
    <w:rsid w:val="53171198"/>
    <w:rsid w:val="532400F4"/>
    <w:rsid w:val="533F0501"/>
    <w:rsid w:val="53535878"/>
    <w:rsid w:val="535F5526"/>
    <w:rsid w:val="53610C4F"/>
    <w:rsid w:val="537C1CBF"/>
    <w:rsid w:val="53BA2E6A"/>
    <w:rsid w:val="53DD7F26"/>
    <w:rsid w:val="54142523"/>
    <w:rsid w:val="542F1505"/>
    <w:rsid w:val="54311BAF"/>
    <w:rsid w:val="544662D1"/>
    <w:rsid w:val="54545816"/>
    <w:rsid w:val="545A1667"/>
    <w:rsid w:val="54817DF8"/>
    <w:rsid w:val="54894BA0"/>
    <w:rsid w:val="54894EDF"/>
    <w:rsid w:val="5492094F"/>
    <w:rsid w:val="54981FD8"/>
    <w:rsid w:val="54A6556D"/>
    <w:rsid w:val="54CC018A"/>
    <w:rsid w:val="55150C54"/>
    <w:rsid w:val="552B487C"/>
    <w:rsid w:val="55416EA0"/>
    <w:rsid w:val="5555648E"/>
    <w:rsid w:val="555F0DA2"/>
    <w:rsid w:val="55683345"/>
    <w:rsid w:val="55727030"/>
    <w:rsid w:val="557B673C"/>
    <w:rsid w:val="558127D5"/>
    <w:rsid w:val="55936D3E"/>
    <w:rsid w:val="55B35D95"/>
    <w:rsid w:val="55D87119"/>
    <w:rsid w:val="55DA6450"/>
    <w:rsid w:val="55DF2E30"/>
    <w:rsid w:val="55FA2C63"/>
    <w:rsid w:val="563C09D3"/>
    <w:rsid w:val="566662CB"/>
    <w:rsid w:val="56707EE0"/>
    <w:rsid w:val="56750921"/>
    <w:rsid w:val="567B6271"/>
    <w:rsid w:val="568A2B2C"/>
    <w:rsid w:val="56A07E97"/>
    <w:rsid w:val="56E34626"/>
    <w:rsid w:val="56F72D5E"/>
    <w:rsid w:val="57107611"/>
    <w:rsid w:val="571E511F"/>
    <w:rsid w:val="574C4C3E"/>
    <w:rsid w:val="57505FF5"/>
    <w:rsid w:val="575F3F48"/>
    <w:rsid w:val="576159D5"/>
    <w:rsid w:val="578E5725"/>
    <w:rsid w:val="57DD1DB4"/>
    <w:rsid w:val="584B0D26"/>
    <w:rsid w:val="587344BE"/>
    <w:rsid w:val="588562C6"/>
    <w:rsid w:val="58AD21B1"/>
    <w:rsid w:val="58B12BD4"/>
    <w:rsid w:val="58DA7055"/>
    <w:rsid w:val="58ED51F6"/>
    <w:rsid w:val="58F16C7A"/>
    <w:rsid w:val="593B43B3"/>
    <w:rsid w:val="59535AE0"/>
    <w:rsid w:val="59640E33"/>
    <w:rsid w:val="59815BBD"/>
    <w:rsid w:val="59870472"/>
    <w:rsid w:val="59A119A5"/>
    <w:rsid w:val="59CB4C4E"/>
    <w:rsid w:val="59D14A8C"/>
    <w:rsid w:val="59D67C94"/>
    <w:rsid w:val="59DC5F17"/>
    <w:rsid w:val="5A035AEE"/>
    <w:rsid w:val="5A064EA5"/>
    <w:rsid w:val="5A10680C"/>
    <w:rsid w:val="5A1631D9"/>
    <w:rsid w:val="5A2E2F4A"/>
    <w:rsid w:val="5A4F0236"/>
    <w:rsid w:val="5A5213A2"/>
    <w:rsid w:val="5A567846"/>
    <w:rsid w:val="5A59181A"/>
    <w:rsid w:val="5A8371BF"/>
    <w:rsid w:val="5AA8199F"/>
    <w:rsid w:val="5AE774C9"/>
    <w:rsid w:val="5AF41BB3"/>
    <w:rsid w:val="5AF9704F"/>
    <w:rsid w:val="5B1A02E5"/>
    <w:rsid w:val="5B8B79AE"/>
    <w:rsid w:val="5BA7046C"/>
    <w:rsid w:val="5BB94EC3"/>
    <w:rsid w:val="5BC03595"/>
    <w:rsid w:val="5BDD2B45"/>
    <w:rsid w:val="5C062E78"/>
    <w:rsid w:val="5C2A365B"/>
    <w:rsid w:val="5C41696C"/>
    <w:rsid w:val="5C5F7C1B"/>
    <w:rsid w:val="5C6E4A9B"/>
    <w:rsid w:val="5C7673A9"/>
    <w:rsid w:val="5C8C1B9B"/>
    <w:rsid w:val="5CA6190B"/>
    <w:rsid w:val="5CEF5419"/>
    <w:rsid w:val="5CEF7198"/>
    <w:rsid w:val="5D044E45"/>
    <w:rsid w:val="5D672448"/>
    <w:rsid w:val="5D6B0C0E"/>
    <w:rsid w:val="5D790367"/>
    <w:rsid w:val="5D9B3D9F"/>
    <w:rsid w:val="5D9E6729"/>
    <w:rsid w:val="5DCA73C8"/>
    <w:rsid w:val="5E0C2EE4"/>
    <w:rsid w:val="5E2457DC"/>
    <w:rsid w:val="5E32706F"/>
    <w:rsid w:val="5E367DE8"/>
    <w:rsid w:val="5E3F1E7E"/>
    <w:rsid w:val="5E543840"/>
    <w:rsid w:val="5E697A94"/>
    <w:rsid w:val="5E7D02FC"/>
    <w:rsid w:val="5E7E7C15"/>
    <w:rsid w:val="5E86021E"/>
    <w:rsid w:val="5EB10B45"/>
    <w:rsid w:val="5EC5061B"/>
    <w:rsid w:val="5EE41D5A"/>
    <w:rsid w:val="5EF144CB"/>
    <w:rsid w:val="5EF26C75"/>
    <w:rsid w:val="5F2622FF"/>
    <w:rsid w:val="5F62370B"/>
    <w:rsid w:val="5F6B1096"/>
    <w:rsid w:val="5F794C9E"/>
    <w:rsid w:val="5F813FC0"/>
    <w:rsid w:val="5F8C63CC"/>
    <w:rsid w:val="5FB618E0"/>
    <w:rsid w:val="5FB96A7A"/>
    <w:rsid w:val="5FE307E1"/>
    <w:rsid w:val="5FFA0406"/>
    <w:rsid w:val="60275413"/>
    <w:rsid w:val="60315DFE"/>
    <w:rsid w:val="603C0E70"/>
    <w:rsid w:val="6079793B"/>
    <w:rsid w:val="60A96B7F"/>
    <w:rsid w:val="60CA25F6"/>
    <w:rsid w:val="60D01FC4"/>
    <w:rsid w:val="60E306A4"/>
    <w:rsid w:val="60EC70D5"/>
    <w:rsid w:val="60F549EF"/>
    <w:rsid w:val="60F7195F"/>
    <w:rsid w:val="60FE69AF"/>
    <w:rsid w:val="6105202D"/>
    <w:rsid w:val="613926F5"/>
    <w:rsid w:val="615573BE"/>
    <w:rsid w:val="615B290D"/>
    <w:rsid w:val="615F1242"/>
    <w:rsid w:val="618C1A96"/>
    <w:rsid w:val="618F4963"/>
    <w:rsid w:val="61A11A3C"/>
    <w:rsid w:val="61B84B09"/>
    <w:rsid w:val="61F43260"/>
    <w:rsid w:val="622430A6"/>
    <w:rsid w:val="622B0BDF"/>
    <w:rsid w:val="62361100"/>
    <w:rsid w:val="62441245"/>
    <w:rsid w:val="624A32CE"/>
    <w:rsid w:val="62525FDC"/>
    <w:rsid w:val="62696A18"/>
    <w:rsid w:val="6270558C"/>
    <w:rsid w:val="62763F82"/>
    <w:rsid w:val="6285525F"/>
    <w:rsid w:val="628663F2"/>
    <w:rsid w:val="629851E3"/>
    <w:rsid w:val="62A21B9D"/>
    <w:rsid w:val="62BC7C0A"/>
    <w:rsid w:val="62C65EF5"/>
    <w:rsid w:val="631B23BC"/>
    <w:rsid w:val="631E69AA"/>
    <w:rsid w:val="63442A57"/>
    <w:rsid w:val="634B2CF6"/>
    <w:rsid w:val="634D7760"/>
    <w:rsid w:val="63824E85"/>
    <w:rsid w:val="638504B3"/>
    <w:rsid w:val="63EB60FE"/>
    <w:rsid w:val="63F55C51"/>
    <w:rsid w:val="63F56A0D"/>
    <w:rsid w:val="642F1986"/>
    <w:rsid w:val="64337D26"/>
    <w:rsid w:val="644E4B1D"/>
    <w:rsid w:val="648F5FEF"/>
    <w:rsid w:val="64953AFE"/>
    <w:rsid w:val="64CC0073"/>
    <w:rsid w:val="64CF5DA9"/>
    <w:rsid w:val="65187B35"/>
    <w:rsid w:val="65254F92"/>
    <w:rsid w:val="655F562D"/>
    <w:rsid w:val="65690093"/>
    <w:rsid w:val="658B7DA8"/>
    <w:rsid w:val="65BA134A"/>
    <w:rsid w:val="65D715BF"/>
    <w:rsid w:val="65D8560D"/>
    <w:rsid w:val="65EC32C5"/>
    <w:rsid w:val="66564EF2"/>
    <w:rsid w:val="6699121E"/>
    <w:rsid w:val="66F26A87"/>
    <w:rsid w:val="6728304C"/>
    <w:rsid w:val="672A1632"/>
    <w:rsid w:val="6750098D"/>
    <w:rsid w:val="67792D7B"/>
    <w:rsid w:val="67AD5799"/>
    <w:rsid w:val="67B1772D"/>
    <w:rsid w:val="67E027FB"/>
    <w:rsid w:val="682A3742"/>
    <w:rsid w:val="685A24B7"/>
    <w:rsid w:val="68602916"/>
    <w:rsid w:val="68671C7E"/>
    <w:rsid w:val="68A015B4"/>
    <w:rsid w:val="68A96A50"/>
    <w:rsid w:val="68DE6C33"/>
    <w:rsid w:val="68EE1602"/>
    <w:rsid w:val="68F339DE"/>
    <w:rsid w:val="69264336"/>
    <w:rsid w:val="695C4777"/>
    <w:rsid w:val="6983207C"/>
    <w:rsid w:val="699C695C"/>
    <w:rsid w:val="69C5677D"/>
    <w:rsid w:val="69D9210A"/>
    <w:rsid w:val="69DF2C2B"/>
    <w:rsid w:val="6A237DB7"/>
    <w:rsid w:val="6A385C20"/>
    <w:rsid w:val="6A5C2D22"/>
    <w:rsid w:val="6A706D5B"/>
    <w:rsid w:val="6A7E0B45"/>
    <w:rsid w:val="6ABF15AE"/>
    <w:rsid w:val="6AD72267"/>
    <w:rsid w:val="6AFF5C1B"/>
    <w:rsid w:val="6B424555"/>
    <w:rsid w:val="6B7A4878"/>
    <w:rsid w:val="6B8D0D02"/>
    <w:rsid w:val="6B996D13"/>
    <w:rsid w:val="6BB92686"/>
    <w:rsid w:val="6BBA5397"/>
    <w:rsid w:val="6BC40A23"/>
    <w:rsid w:val="6BE77559"/>
    <w:rsid w:val="6C2A6C80"/>
    <w:rsid w:val="6C2B6568"/>
    <w:rsid w:val="6C662BE4"/>
    <w:rsid w:val="6C6B706C"/>
    <w:rsid w:val="6C7E7FC0"/>
    <w:rsid w:val="6C8A7E05"/>
    <w:rsid w:val="6C9B343E"/>
    <w:rsid w:val="6C9F0E3E"/>
    <w:rsid w:val="6CC50914"/>
    <w:rsid w:val="6CD23598"/>
    <w:rsid w:val="6D0713EB"/>
    <w:rsid w:val="6D0B3C3D"/>
    <w:rsid w:val="6D212FEF"/>
    <w:rsid w:val="6D2A42A1"/>
    <w:rsid w:val="6D445C71"/>
    <w:rsid w:val="6D672B00"/>
    <w:rsid w:val="6D701F4B"/>
    <w:rsid w:val="6D8211C0"/>
    <w:rsid w:val="6DCF799F"/>
    <w:rsid w:val="6DD373EF"/>
    <w:rsid w:val="6DE333D5"/>
    <w:rsid w:val="6DE96353"/>
    <w:rsid w:val="6E2F0DD2"/>
    <w:rsid w:val="6E4965FC"/>
    <w:rsid w:val="6E4E7AAC"/>
    <w:rsid w:val="6E6B197D"/>
    <w:rsid w:val="6E704069"/>
    <w:rsid w:val="6EBB0FEF"/>
    <w:rsid w:val="6EE31CAB"/>
    <w:rsid w:val="6EE75201"/>
    <w:rsid w:val="6EF156AF"/>
    <w:rsid w:val="6F1A50B5"/>
    <w:rsid w:val="6F1C0108"/>
    <w:rsid w:val="6F203648"/>
    <w:rsid w:val="6F2B2472"/>
    <w:rsid w:val="6F3C02C7"/>
    <w:rsid w:val="6F481BCF"/>
    <w:rsid w:val="6F4F0BAE"/>
    <w:rsid w:val="6F6270F7"/>
    <w:rsid w:val="6F976FB5"/>
    <w:rsid w:val="6FBB5D90"/>
    <w:rsid w:val="6FD67088"/>
    <w:rsid w:val="6FEB702D"/>
    <w:rsid w:val="70010F0E"/>
    <w:rsid w:val="70215756"/>
    <w:rsid w:val="70305FB7"/>
    <w:rsid w:val="70373AEB"/>
    <w:rsid w:val="703C2445"/>
    <w:rsid w:val="704C2222"/>
    <w:rsid w:val="7074080D"/>
    <w:rsid w:val="70AD29E1"/>
    <w:rsid w:val="70E24DEB"/>
    <w:rsid w:val="710812D5"/>
    <w:rsid w:val="71083F82"/>
    <w:rsid w:val="7164589D"/>
    <w:rsid w:val="716802A0"/>
    <w:rsid w:val="71734B6E"/>
    <w:rsid w:val="718566BB"/>
    <w:rsid w:val="71866EC5"/>
    <w:rsid w:val="71902526"/>
    <w:rsid w:val="72252A73"/>
    <w:rsid w:val="722A05AD"/>
    <w:rsid w:val="722C0C1F"/>
    <w:rsid w:val="723E35D5"/>
    <w:rsid w:val="723F3FFF"/>
    <w:rsid w:val="7260000D"/>
    <w:rsid w:val="728253FC"/>
    <w:rsid w:val="72884C59"/>
    <w:rsid w:val="72A10820"/>
    <w:rsid w:val="72B574C1"/>
    <w:rsid w:val="72B61A9B"/>
    <w:rsid w:val="72BB4511"/>
    <w:rsid w:val="72C34466"/>
    <w:rsid w:val="72F91E59"/>
    <w:rsid w:val="73031455"/>
    <w:rsid w:val="733B7F07"/>
    <w:rsid w:val="734165D0"/>
    <w:rsid w:val="734266BC"/>
    <w:rsid w:val="73854316"/>
    <w:rsid w:val="73940F50"/>
    <w:rsid w:val="73A91058"/>
    <w:rsid w:val="73BA5031"/>
    <w:rsid w:val="73D76171"/>
    <w:rsid w:val="73DD7CC3"/>
    <w:rsid w:val="73E755D3"/>
    <w:rsid w:val="73E82D35"/>
    <w:rsid w:val="73F75A0F"/>
    <w:rsid w:val="744012C6"/>
    <w:rsid w:val="745436E9"/>
    <w:rsid w:val="74620DE8"/>
    <w:rsid w:val="7466178C"/>
    <w:rsid w:val="7487754C"/>
    <w:rsid w:val="74B67C70"/>
    <w:rsid w:val="74BB1907"/>
    <w:rsid w:val="74C0081A"/>
    <w:rsid w:val="74EE3FFC"/>
    <w:rsid w:val="75024B07"/>
    <w:rsid w:val="750C2E98"/>
    <w:rsid w:val="75171229"/>
    <w:rsid w:val="75192DD0"/>
    <w:rsid w:val="75644DB2"/>
    <w:rsid w:val="75772547"/>
    <w:rsid w:val="75934E53"/>
    <w:rsid w:val="759407F3"/>
    <w:rsid w:val="759926FC"/>
    <w:rsid w:val="75C31342"/>
    <w:rsid w:val="75E64D79"/>
    <w:rsid w:val="75EE076B"/>
    <w:rsid w:val="75F73E7D"/>
    <w:rsid w:val="75FB4D1F"/>
    <w:rsid w:val="760D3040"/>
    <w:rsid w:val="761163BB"/>
    <w:rsid w:val="765149FD"/>
    <w:rsid w:val="76565201"/>
    <w:rsid w:val="765E373E"/>
    <w:rsid w:val="766C3132"/>
    <w:rsid w:val="76897E06"/>
    <w:rsid w:val="769E7DAB"/>
    <w:rsid w:val="76F507BA"/>
    <w:rsid w:val="76FB69CA"/>
    <w:rsid w:val="76FF6B4B"/>
    <w:rsid w:val="772614D4"/>
    <w:rsid w:val="77653BB9"/>
    <w:rsid w:val="77865496"/>
    <w:rsid w:val="778B1405"/>
    <w:rsid w:val="778D1C32"/>
    <w:rsid w:val="77A36F1D"/>
    <w:rsid w:val="7821430C"/>
    <w:rsid w:val="782A2D30"/>
    <w:rsid w:val="782A4F95"/>
    <w:rsid w:val="782D43A4"/>
    <w:rsid w:val="783D29E7"/>
    <w:rsid w:val="784513E1"/>
    <w:rsid w:val="784E024D"/>
    <w:rsid w:val="785F5CA8"/>
    <w:rsid w:val="786B5FC9"/>
    <w:rsid w:val="787136DD"/>
    <w:rsid w:val="78A86FAC"/>
    <w:rsid w:val="78AB4608"/>
    <w:rsid w:val="78BD4522"/>
    <w:rsid w:val="78BD7DA6"/>
    <w:rsid w:val="78C15B19"/>
    <w:rsid w:val="78C728B3"/>
    <w:rsid w:val="78FA4517"/>
    <w:rsid w:val="7908279C"/>
    <w:rsid w:val="790A1D5D"/>
    <w:rsid w:val="791B5609"/>
    <w:rsid w:val="79276636"/>
    <w:rsid w:val="792F3372"/>
    <w:rsid w:val="79390B4A"/>
    <w:rsid w:val="79537BEE"/>
    <w:rsid w:val="796F76C6"/>
    <w:rsid w:val="79753CD1"/>
    <w:rsid w:val="79892971"/>
    <w:rsid w:val="79986827"/>
    <w:rsid w:val="79A10018"/>
    <w:rsid w:val="79A24C16"/>
    <w:rsid w:val="79AF7A78"/>
    <w:rsid w:val="79B52377"/>
    <w:rsid w:val="79C9614F"/>
    <w:rsid w:val="79CC42D2"/>
    <w:rsid w:val="79F64729"/>
    <w:rsid w:val="79FA5DD8"/>
    <w:rsid w:val="7A0D09CC"/>
    <w:rsid w:val="7A1360FE"/>
    <w:rsid w:val="7A2250EE"/>
    <w:rsid w:val="7A2D74ED"/>
    <w:rsid w:val="7A331E3B"/>
    <w:rsid w:val="7A684A33"/>
    <w:rsid w:val="7A6E2017"/>
    <w:rsid w:val="7AAC3ECC"/>
    <w:rsid w:val="7ADE6515"/>
    <w:rsid w:val="7ADE7A80"/>
    <w:rsid w:val="7B070BE4"/>
    <w:rsid w:val="7B082AFF"/>
    <w:rsid w:val="7B1B3424"/>
    <w:rsid w:val="7B2C0D2F"/>
    <w:rsid w:val="7B3C42BC"/>
    <w:rsid w:val="7B512E58"/>
    <w:rsid w:val="7B5B3EF1"/>
    <w:rsid w:val="7B630F7D"/>
    <w:rsid w:val="7B9F58E0"/>
    <w:rsid w:val="7BA944D4"/>
    <w:rsid w:val="7BCE1D0D"/>
    <w:rsid w:val="7BD25E84"/>
    <w:rsid w:val="7BEB46DA"/>
    <w:rsid w:val="7BEF350F"/>
    <w:rsid w:val="7C376D58"/>
    <w:rsid w:val="7C411690"/>
    <w:rsid w:val="7C536F9C"/>
    <w:rsid w:val="7C8E7766"/>
    <w:rsid w:val="7CAF4690"/>
    <w:rsid w:val="7CF66E83"/>
    <w:rsid w:val="7D790C14"/>
    <w:rsid w:val="7D822631"/>
    <w:rsid w:val="7D8800C2"/>
    <w:rsid w:val="7DA23815"/>
    <w:rsid w:val="7DB02A07"/>
    <w:rsid w:val="7DDC17A4"/>
    <w:rsid w:val="7DED74A3"/>
    <w:rsid w:val="7DF03EDA"/>
    <w:rsid w:val="7E381537"/>
    <w:rsid w:val="7E452ED9"/>
    <w:rsid w:val="7E4B2BCD"/>
    <w:rsid w:val="7E513FCE"/>
    <w:rsid w:val="7E583DAF"/>
    <w:rsid w:val="7E661214"/>
    <w:rsid w:val="7E6950DD"/>
    <w:rsid w:val="7EA41516"/>
    <w:rsid w:val="7EAE7CEB"/>
    <w:rsid w:val="7EB52F72"/>
    <w:rsid w:val="7EB82ECD"/>
    <w:rsid w:val="7EB948DD"/>
    <w:rsid w:val="7EC23E83"/>
    <w:rsid w:val="7F123E59"/>
    <w:rsid w:val="7F194892"/>
    <w:rsid w:val="7F53159B"/>
    <w:rsid w:val="7F8246E9"/>
    <w:rsid w:val="7F8B58D8"/>
    <w:rsid w:val="7F8F42C1"/>
    <w:rsid w:val="7FAE356C"/>
    <w:rsid w:val="7FCD2E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spacing w:line="400" w:lineRule="exact"/>
      <w:jc w:val="center"/>
      <w:outlineLvl w:val="0"/>
    </w:pPr>
    <w:rPr>
      <w:rFonts w:ascii="宋体" w:hAnsi="宋体"/>
      <w:sz w:val="28"/>
    </w:rPr>
  </w:style>
  <w:style w:type="paragraph" w:styleId="4">
    <w:name w:val="heading 3"/>
    <w:basedOn w:val="1"/>
    <w:next w:val="1"/>
    <w:qFormat/>
    <w:uiPriority w:val="0"/>
    <w:pPr>
      <w:keepNext/>
      <w:keepLines/>
      <w:outlineLvl w:val="2"/>
    </w:pPr>
    <w:rPr>
      <w:b/>
      <w:bCs/>
      <w:sz w:val="28"/>
      <w:szCs w:val="32"/>
    </w:rPr>
  </w:style>
  <w:style w:type="character" w:default="1" w:styleId="31">
    <w:name w:val="Default Paragraph Font"/>
    <w:semiHidden/>
    <w:uiPriority w:val="0"/>
  </w:style>
  <w:style w:type="table" w:default="1" w:styleId="37">
    <w:name w:val="Normal Table"/>
    <w:semiHidden/>
    <w:uiPriority w:val="0"/>
    <w:tblPr>
      <w:tblStyle w:val="37"/>
      <w:tblLayout w:type="fixed"/>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snapToGrid w:val="0"/>
      <w:color w:val="000000"/>
      <w:sz w:val="24"/>
      <w:szCs w:val="24"/>
      <w:lang w:val="en-US" w:eastAsia="zh-CN" w:bidi="ar-SA"/>
    </w:rPr>
  </w:style>
  <w:style w:type="paragraph" w:styleId="5">
    <w:name w:val="annotation subject"/>
    <w:basedOn w:val="6"/>
    <w:next w:val="6"/>
    <w:semiHidden/>
    <w:uiPriority w:val="0"/>
    <w:rPr>
      <w:b/>
      <w:bCs/>
    </w:rPr>
  </w:style>
  <w:style w:type="paragraph" w:styleId="6">
    <w:name w:val="annotation text"/>
    <w:basedOn w:val="1"/>
    <w:semiHidden/>
    <w:uiPriority w:val="0"/>
    <w:pPr>
      <w:jc w:val="left"/>
    </w:pPr>
  </w:style>
  <w:style w:type="paragraph" w:styleId="7">
    <w:name w:val="Body Text First Indent"/>
    <w:basedOn w:val="8"/>
    <w:uiPriority w:val="0"/>
    <w:pPr>
      <w:spacing w:after="120" w:line="240" w:lineRule="auto"/>
      <w:ind w:firstLine="420" w:firstLineChars="100"/>
    </w:pPr>
    <w:rPr>
      <w:sz w:val="28"/>
      <w:szCs w:val="24"/>
    </w:rPr>
  </w:style>
  <w:style w:type="paragraph" w:styleId="8">
    <w:name w:val="Body Text"/>
    <w:basedOn w:val="1"/>
    <w:uiPriority w:val="0"/>
    <w:rPr>
      <w:sz w:val="32"/>
      <w:szCs w:val="20"/>
    </w:rPr>
  </w:style>
  <w:style w:type="paragraph" w:styleId="9">
    <w:name w:val="Normal Indent"/>
    <w:basedOn w:val="1"/>
    <w:link w:val="96"/>
    <w:uiPriority w:val="0"/>
    <w:pPr>
      <w:ind w:firstLine="420" w:firstLineChars="200"/>
    </w:pPr>
  </w:style>
  <w:style w:type="paragraph" w:styleId="10">
    <w:name w:val="caption"/>
    <w:basedOn w:val="1"/>
    <w:next w:val="1"/>
    <w:qFormat/>
    <w:uiPriority w:val="0"/>
    <w:pPr>
      <w:widowControl/>
      <w:jc w:val="left"/>
    </w:pPr>
    <w:rPr>
      <w:rFonts w:ascii="Arial" w:hAnsi="Arial" w:eastAsia="黑体" w:cs="Arial"/>
      <w:sz w:val="20"/>
      <w:szCs w:val="20"/>
    </w:rPr>
  </w:style>
  <w:style w:type="paragraph" w:styleId="11">
    <w:name w:val="Document Map"/>
    <w:basedOn w:val="1"/>
    <w:semiHidden/>
    <w:uiPriority w:val="0"/>
    <w:pPr>
      <w:shd w:val="clear" w:color="auto" w:fill="000080"/>
    </w:pPr>
  </w:style>
  <w:style w:type="paragraph" w:styleId="12">
    <w:name w:val="Body Text 3"/>
    <w:basedOn w:val="1"/>
    <w:uiPriority w:val="0"/>
    <w:pPr>
      <w:spacing w:after="120"/>
    </w:pPr>
    <w:rPr>
      <w:sz w:val="16"/>
      <w:szCs w:val="16"/>
    </w:rPr>
  </w:style>
  <w:style w:type="paragraph" w:styleId="13">
    <w:name w:val="Body Text Indent"/>
    <w:basedOn w:val="1"/>
    <w:link w:val="100"/>
    <w:uiPriority w:val="0"/>
    <w:pPr>
      <w:spacing w:line="300" w:lineRule="exact"/>
      <w:ind w:firstLine="538"/>
    </w:pPr>
    <w:rPr>
      <w:rFonts w:ascii="宋体"/>
      <w:sz w:val="24"/>
    </w:rPr>
  </w:style>
  <w:style w:type="paragraph" w:styleId="14">
    <w:name w:val="Block Text"/>
    <w:basedOn w:val="1"/>
    <w:uiPriority w:val="0"/>
    <w:pPr>
      <w:adjustRightInd w:val="0"/>
      <w:snapToGrid w:val="0"/>
      <w:spacing w:line="440" w:lineRule="exact"/>
      <w:ind w:left="402" w:right="108" w:firstLine="450"/>
    </w:pPr>
    <w:rPr>
      <w:rFonts w:ascii="宋体" w:hAnsi="宋体"/>
      <w:sz w:val="24"/>
      <w:szCs w:val="20"/>
    </w:rPr>
  </w:style>
  <w:style w:type="paragraph" w:styleId="15">
    <w:name w:val="Plain Text"/>
    <w:basedOn w:val="1"/>
    <w:link w:val="102"/>
    <w:uiPriority w:val="0"/>
    <w:rPr>
      <w:rFonts w:ascii="宋体" w:hAnsi="Courier New" w:cs="Courier New"/>
      <w:szCs w:val="21"/>
    </w:rPr>
  </w:style>
  <w:style w:type="paragraph" w:styleId="16">
    <w:name w:val="Date"/>
    <w:basedOn w:val="1"/>
    <w:next w:val="1"/>
    <w:uiPriority w:val="0"/>
    <w:rPr>
      <w:sz w:val="28"/>
      <w:szCs w:val="20"/>
    </w:rPr>
  </w:style>
  <w:style w:type="paragraph" w:styleId="17">
    <w:name w:val="Body Text Indent 2"/>
    <w:basedOn w:val="1"/>
    <w:uiPriority w:val="0"/>
    <w:pPr>
      <w:ind w:left="-140" w:firstLine="560"/>
      <w:jc w:val="left"/>
      <w:outlineLvl w:val="0"/>
    </w:pPr>
    <w:rPr>
      <w:sz w:val="28"/>
      <w:szCs w:val="20"/>
    </w:rPr>
  </w:style>
  <w:style w:type="paragraph" w:styleId="18">
    <w:name w:val="Balloon Text"/>
    <w:basedOn w:val="1"/>
    <w:semiHidden/>
    <w:uiPriority w:val="0"/>
    <w:rPr>
      <w:sz w:val="18"/>
      <w:szCs w:val="18"/>
    </w:rPr>
  </w:style>
  <w:style w:type="paragraph" w:styleId="19">
    <w:name w:val="footer"/>
    <w:basedOn w:val="1"/>
    <w:uiPriority w:val="0"/>
    <w:pPr>
      <w:tabs>
        <w:tab w:val="center" w:pos="4153"/>
        <w:tab w:val="right" w:pos="8306"/>
      </w:tabs>
      <w:snapToGrid w:val="0"/>
      <w:jc w:val="left"/>
    </w:pPr>
    <w:rPr>
      <w:sz w:val="18"/>
      <w:szCs w:val="20"/>
    </w:rPr>
  </w:style>
  <w:style w:type="paragraph" w:styleId="20">
    <w:name w:val="Body Text First Indent 2"/>
    <w:basedOn w:val="13"/>
    <w:uiPriority w:val="0"/>
    <w:pPr>
      <w:adjustRightInd/>
      <w:spacing w:after="120" w:line="240" w:lineRule="auto"/>
      <w:ind w:left="420" w:leftChars="200" w:firstLine="420" w:firstLineChars="200"/>
      <w:textAlignment w:val="auto"/>
    </w:pPr>
    <w:rPr>
      <w:kern w:val="2"/>
      <w:sz w:val="21"/>
      <w:szCs w:val="24"/>
    </w:rPr>
  </w:style>
  <w:style w:type="paragraph" w:styleId="2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iPriority w:val="0"/>
    <w:pPr>
      <w:adjustRightInd w:val="0"/>
      <w:snapToGrid w:val="0"/>
      <w:spacing w:line="280" w:lineRule="exact"/>
      <w:jc w:val="center"/>
    </w:pPr>
    <w:rPr>
      <w:sz w:val="24"/>
      <w:szCs w:val="20"/>
    </w:rPr>
  </w:style>
  <w:style w:type="paragraph" w:styleId="23">
    <w:name w:val="List"/>
    <w:basedOn w:val="1"/>
    <w:next w:val="8"/>
    <w:uiPriority w:val="0"/>
    <w:pPr>
      <w:widowControl/>
      <w:tabs>
        <w:tab w:val="center" w:pos="426"/>
      </w:tabs>
      <w:autoSpaceDE w:val="0"/>
      <w:autoSpaceDN w:val="0"/>
      <w:adjustRightInd w:val="0"/>
      <w:snapToGrid w:val="0"/>
      <w:jc w:val="center"/>
    </w:pPr>
    <w:rPr>
      <w:snapToGrid w:val="0"/>
      <w:kern w:val="0"/>
      <w:sz w:val="28"/>
    </w:rPr>
  </w:style>
  <w:style w:type="paragraph" w:styleId="24">
    <w:name w:val="Body Text Indent 3"/>
    <w:basedOn w:val="1"/>
    <w:uiPriority w:val="0"/>
    <w:pPr>
      <w:ind w:firstLine="540"/>
    </w:pPr>
    <w:rPr>
      <w:rFonts w:hint="eastAsia" w:ascii="宋体"/>
      <w:sz w:val="28"/>
      <w:szCs w:val="20"/>
    </w:rPr>
  </w:style>
  <w:style w:type="paragraph" w:styleId="25">
    <w:name w:val="toc 2"/>
    <w:basedOn w:val="1"/>
    <w:next w:val="1"/>
    <w:uiPriority w:val="0"/>
    <w:pPr>
      <w:ind w:left="420" w:leftChars="200"/>
    </w:pPr>
  </w:style>
  <w:style w:type="paragraph" w:styleId="26">
    <w:name w:val="Body Text 2"/>
    <w:basedOn w:val="1"/>
    <w:uiPriority w:val="0"/>
    <w:rPr>
      <w:szCs w:val="20"/>
    </w:rPr>
  </w:style>
  <w:style w:type="paragraph" w:styleId="2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28">
    <w:name w:val="Normal (Web)"/>
    <w:basedOn w:val="1"/>
    <w:uiPriority w:val="0"/>
    <w:pPr>
      <w:widowControl/>
      <w:spacing w:before="100" w:beforeAutospacing="1" w:after="100" w:afterAutospacing="1"/>
      <w:jc w:val="left"/>
    </w:pPr>
    <w:rPr>
      <w:rFonts w:ascii="宋体" w:hAnsi="宋体" w:cs="宋体"/>
      <w:kern w:val="0"/>
      <w:sz w:val="24"/>
    </w:rPr>
  </w:style>
  <w:style w:type="paragraph" w:styleId="29">
    <w:name w:val="index 1"/>
    <w:basedOn w:val="1"/>
    <w:next w:val="1"/>
    <w:uiPriority w:val="0"/>
    <w:pPr>
      <w:spacing w:line="192" w:lineRule="auto"/>
      <w:jc w:val="center"/>
    </w:pPr>
    <w:rPr>
      <w:rFonts w:ascii="宋体" w:hAnsi="宋体"/>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2">
    <w:name w:val="Strong"/>
    <w:qFormat/>
    <w:uiPriority w:val="0"/>
    <w:rPr>
      <w:b/>
      <w:bCs/>
    </w:rPr>
  </w:style>
  <w:style w:type="character" w:styleId="33">
    <w:name w:val="page number"/>
    <w:basedOn w:val="31"/>
    <w:uiPriority w:val="0"/>
  </w:style>
  <w:style w:type="character" w:styleId="34">
    <w:name w:val="FollowedHyperlink"/>
    <w:uiPriority w:val="0"/>
    <w:rPr>
      <w:color w:val="800080"/>
      <w:u w:val="single"/>
    </w:rPr>
  </w:style>
  <w:style w:type="character" w:styleId="35">
    <w:name w:val="Hyperlink"/>
    <w:uiPriority w:val="0"/>
    <w:rPr>
      <w:color w:val="000000"/>
      <w:u w:val="single"/>
    </w:rPr>
  </w:style>
  <w:style w:type="character" w:styleId="36">
    <w:name w:val="annotation reference"/>
    <w:semiHidden/>
    <w:uiPriority w:val="0"/>
    <w:rPr>
      <w:sz w:val="21"/>
      <w:szCs w:val="21"/>
    </w:rPr>
  </w:style>
  <w:style w:type="table" w:styleId="38">
    <w:name w:val="Table Grid"/>
    <w:basedOn w:val="37"/>
    <w:uiPriority w:val="0"/>
    <w:pPr>
      <w:widowControl w:val="0"/>
      <w:jc w:val="both"/>
    </w:pPr>
    <w:tblPr>
      <w:tblStyle w:val="3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9">
    <w:name w:val="Table Paragraph"/>
    <w:basedOn w:val="1"/>
    <w:qFormat/>
    <w:uiPriority w:val="0"/>
    <w:pPr>
      <w:jc w:val="left"/>
    </w:pPr>
    <w:rPr>
      <w:rFonts w:ascii="宋体" w:cs="宋体"/>
      <w:kern w:val="0"/>
      <w:sz w:val="22"/>
      <w:szCs w:val="22"/>
      <w:lang w:eastAsia="en-US"/>
    </w:rPr>
  </w:style>
  <w:style w:type="paragraph" w:customStyle="1" w:styleId="40">
    <w:name w:val="正文1"/>
    <w:basedOn w:val="1"/>
    <w:qFormat/>
    <w:uiPriority w:val="0"/>
    <w:pPr>
      <w:adjustRightInd w:val="0"/>
      <w:snapToGrid w:val="0"/>
      <w:spacing w:line="440" w:lineRule="exact"/>
      <w:ind w:firstLine="200" w:firstLineChars="200"/>
    </w:pPr>
    <w:rPr>
      <w:rFonts w:eastAsia="华文中宋"/>
      <w:kern w:val="2"/>
      <w:sz w:val="24"/>
      <w:lang w:val="en-US" w:eastAsia="zh-CN" w:bidi="ar-SA"/>
    </w:rPr>
  </w:style>
  <w:style w:type="paragraph" w:customStyle="1" w:styleId="41">
    <w:name w:val="二级无标题条"/>
    <w:basedOn w:val="1"/>
    <w:qFormat/>
    <w:uiPriority w:val="0"/>
  </w:style>
  <w:style w:type="paragraph" w:customStyle="1" w:styleId="42">
    <w:name w:val="二级标题"/>
    <w:basedOn w:val="3"/>
    <w:next w:val="43"/>
    <w:uiPriority w:val="0"/>
    <w:pPr>
      <w:keepLines/>
      <w:spacing w:before="50" w:beforeLines="50" w:after="50" w:afterLines="50" w:line="360" w:lineRule="auto"/>
      <w:jc w:val="both"/>
    </w:pPr>
    <w:rPr>
      <w:rFonts w:ascii="Times New Roman" w:hAnsi="Times New Roman"/>
      <w:b/>
      <w:bCs/>
      <w:kern w:val="44"/>
      <w:sz w:val="24"/>
      <w:szCs w:val="44"/>
    </w:rPr>
  </w:style>
  <w:style w:type="paragraph" w:customStyle="1" w:styleId="43">
    <w:name w:val="正文内容"/>
    <w:basedOn w:val="1"/>
    <w:link w:val="103"/>
    <w:uiPriority w:val="0"/>
    <w:pPr>
      <w:spacing w:line="360" w:lineRule="auto"/>
      <w:ind w:firstLine="624"/>
    </w:pPr>
    <w:rPr>
      <w:rFonts w:ascii="宋体"/>
      <w:sz w:val="24"/>
    </w:rPr>
  </w:style>
  <w:style w:type="paragraph" w:customStyle="1" w:styleId="44">
    <w:name w:val="表"/>
    <w:qFormat/>
    <w:uiPriority w:val="0"/>
    <w:pPr>
      <w:spacing w:line="440" w:lineRule="exact"/>
      <w:ind w:firstLine="200" w:firstLineChars="200"/>
      <w:jc w:val="both"/>
    </w:pPr>
    <w:rPr>
      <w:rFonts w:ascii="Times New Roman" w:hAnsi="Times New Roman" w:eastAsia="宋体" w:cs="Times New Roman"/>
      <w:sz w:val="24"/>
      <w:szCs w:val="22"/>
      <w:lang w:val="en-US" w:eastAsia="zh-CN" w:bidi="ar-SA"/>
    </w:rPr>
  </w:style>
  <w:style w:type="paragraph" w:customStyle="1" w:styleId="45">
    <w:name w:val="样式2"/>
    <w:basedOn w:val="1"/>
    <w:uiPriority w:val="0"/>
    <w:pPr>
      <w:spacing w:line="360" w:lineRule="auto"/>
      <w:ind w:firstLine="840" w:firstLineChars="350"/>
    </w:pPr>
    <w:rPr>
      <w:rFonts w:ascii="黑体" w:hAnsi="宋体" w:eastAsia="黑体"/>
      <w:bCs/>
      <w:sz w:val="24"/>
    </w:rPr>
  </w:style>
  <w:style w:type="paragraph" w:customStyle="1" w:styleId="46">
    <w:name w:val="表格内文字格式"/>
    <w:basedOn w:val="1"/>
    <w:qFormat/>
    <w:uiPriority w:val="0"/>
    <w:pPr>
      <w:spacing w:line="360" w:lineRule="auto"/>
      <w:ind w:rightChars="-26" w:firstLine="436" w:firstLineChars="200"/>
      <w:jc w:val="left"/>
    </w:pPr>
    <w:rPr>
      <w:rFonts w:ascii="Arial" w:hAnsi="Arial"/>
      <w:kern w:val="10"/>
      <w:sz w:val="24"/>
    </w:rPr>
  </w:style>
  <w:style w:type="paragraph" w:customStyle="1" w:styleId="47">
    <w:name w:val="表头"/>
    <w:basedOn w:val="30"/>
    <w:next w:val="23"/>
    <w:qFormat/>
    <w:uiPriority w:val="0"/>
    <w:pPr>
      <w:keepNext/>
      <w:adjustRightInd w:val="0"/>
      <w:snapToGrid w:val="0"/>
      <w:spacing w:line="360" w:lineRule="auto"/>
      <w:jc w:val="center"/>
    </w:pPr>
    <w:rPr>
      <w:b w:val="0"/>
      <w:color w:val="000000"/>
      <w:kern w:val="24"/>
      <w:sz w:val="24"/>
      <w:szCs w:val="21"/>
      <w:lang w:val="en-US" w:eastAsia="zh-CN" w:bidi="ar-SA"/>
    </w:rPr>
  </w:style>
  <w:style w:type="paragraph" w:customStyle="1" w:styleId="48">
    <w:name w:val="xl28"/>
    <w:basedOn w:val="1"/>
    <w:uiPriority w:val="0"/>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paragraph" w:customStyle="1" w:styleId="49">
    <w:name w:val="样式1"/>
    <w:basedOn w:val="1"/>
    <w:uiPriority w:val="0"/>
    <w:pPr>
      <w:spacing w:line="360" w:lineRule="exact"/>
      <w:ind w:firstLine="420" w:firstLineChars="200"/>
    </w:pPr>
  </w:style>
  <w:style w:type="paragraph" w:customStyle="1" w:styleId="50">
    <w:name w:val=" Char Char1 Char Char Char Char Char Char Char Char"/>
    <w:basedOn w:val="1"/>
    <w:uiPriority w:val="0"/>
    <w:rPr>
      <w:sz w:val="24"/>
    </w:rPr>
  </w:style>
  <w:style w:type="paragraph" w:customStyle="1" w:styleId="51">
    <w:name w:val="小罗文本"/>
    <w:basedOn w:val="1"/>
    <w:uiPriority w:val="0"/>
    <w:pPr>
      <w:spacing w:line="500" w:lineRule="exact"/>
      <w:ind w:firstLine="200" w:firstLineChars="200"/>
    </w:pPr>
    <w:rPr>
      <w:rFonts w:ascii="宋体"/>
      <w:sz w:val="24"/>
    </w:rPr>
  </w:style>
  <w:style w:type="paragraph" w:customStyle="1" w:styleId="52">
    <w:name w:val="正文曹"/>
    <w:basedOn w:val="13"/>
    <w:qFormat/>
    <w:uiPriority w:val="0"/>
    <w:pPr>
      <w:spacing w:line="320" w:lineRule="exact"/>
      <w:ind w:firstLine="0"/>
      <w:jc w:val="center"/>
    </w:pPr>
    <w:rPr>
      <w:rFonts w:hAnsi="宋体"/>
      <w:sz w:val="24"/>
      <w:szCs w:val="24"/>
    </w:rPr>
  </w:style>
  <w:style w:type="paragraph" w:customStyle="1" w:styleId="53">
    <w:name w:val="页面 7"/>
    <w:basedOn w:val="1"/>
    <w:qFormat/>
    <w:uiPriority w:val="0"/>
    <w:pPr>
      <w:autoSpaceDE w:val="0"/>
      <w:autoSpaceDN w:val="0"/>
      <w:adjustRightInd w:val="0"/>
      <w:spacing w:before="120" w:beforeLines="0" w:after="120" w:afterLines="0"/>
      <w:jc w:val="center"/>
      <w:textAlignment w:val="baseline"/>
    </w:pPr>
    <w:rPr>
      <w:rFonts w:ascii="宋体" w:hAnsi="Impact"/>
      <w:kern w:val="24"/>
      <w:sz w:val="32"/>
      <w:szCs w:val="20"/>
    </w:rPr>
  </w:style>
  <w:style w:type="paragraph" w:customStyle="1" w:styleId="54">
    <w:name w:val="表格"/>
    <w:next w:val="9"/>
    <w:uiPriority w:val="0"/>
    <w:pPr>
      <w:spacing w:line="0" w:lineRule="atLeast"/>
      <w:jc w:val="center"/>
    </w:pPr>
    <w:rPr>
      <w:rFonts w:ascii="宋体"/>
      <w:iCs/>
      <w:sz w:val="21"/>
      <w:lang w:val="en-US" w:eastAsia="zh-CN" w:bidi="ar-SA"/>
    </w:rPr>
  </w:style>
  <w:style w:type="paragraph" w:customStyle="1" w:styleId="55">
    <w:name w:val="正文文本缩进1"/>
    <w:basedOn w:val="1"/>
    <w:qFormat/>
    <w:uiPriority w:val="0"/>
    <w:pPr>
      <w:spacing w:line="300" w:lineRule="auto"/>
      <w:ind w:firstLine="454"/>
    </w:pPr>
    <w:rPr>
      <w:sz w:val="24"/>
    </w:rPr>
  </w:style>
  <w:style w:type="paragraph" w:customStyle="1" w:styleId="56">
    <w:name w:val="正文 New New New"/>
    <w:qFormat/>
    <w:uiPriority w:val="0"/>
    <w:pPr>
      <w:spacing w:line="425" w:lineRule="atLeast"/>
      <w:jc w:val="both"/>
      <w:textAlignment w:val="baseline"/>
    </w:pPr>
    <w:rPr>
      <w:color w:val="000000"/>
      <w:sz w:val="21"/>
      <w:szCs w:val="22"/>
      <w:lang w:val="en-US" w:eastAsia="zh-CN" w:bidi="ar-SA"/>
    </w:rPr>
  </w:style>
  <w:style w:type="paragraph" w:customStyle="1" w:styleId="57">
    <w:name w:val="表格文字2"/>
    <w:basedOn w:val="1"/>
    <w:qFormat/>
    <w:uiPriority w:val="0"/>
    <w:pPr>
      <w:spacing w:before="60"/>
      <w:jc w:val="center"/>
    </w:pPr>
  </w:style>
  <w:style w:type="paragraph" w:customStyle="1" w:styleId="58">
    <w:name w:val="List Paragraph"/>
    <w:basedOn w:val="1"/>
    <w:qFormat/>
    <w:uiPriority w:val="34"/>
    <w:pPr>
      <w:ind w:firstLine="420" w:firstLineChars="200"/>
    </w:pPr>
  </w:style>
  <w:style w:type="paragraph" w:customStyle="1" w:styleId="59">
    <w:name w:val="表格正文"/>
    <w:basedOn w:val="1"/>
    <w:next w:val="60"/>
    <w:qFormat/>
    <w:uiPriority w:val="0"/>
    <w:pPr>
      <w:spacing w:line="360" w:lineRule="exact"/>
      <w:jc w:val="center"/>
    </w:pPr>
  </w:style>
  <w:style w:type="paragraph" w:customStyle="1" w:styleId="60">
    <w:name w:val="正"/>
    <w:basedOn w:val="1"/>
    <w:qFormat/>
    <w:uiPriority w:val="0"/>
    <w:pPr>
      <w:spacing w:line="360" w:lineRule="auto"/>
      <w:ind w:firstLine="200" w:firstLineChars="200"/>
    </w:pPr>
    <w:rPr>
      <w:rFonts w:eastAsia="宋体"/>
      <w:sz w:val="24"/>
    </w:rPr>
  </w:style>
  <w:style w:type="paragraph" w:customStyle="1" w:styleId="61">
    <w:name w:val="标题111"/>
    <w:basedOn w:val="1"/>
    <w:qFormat/>
    <w:uiPriority w:val="0"/>
    <w:pPr>
      <w:spacing w:line="480" w:lineRule="exact"/>
    </w:pPr>
    <w:rPr>
      <w:b/>
      <w:sz w:val="24"/>
    </w:rPr>
  </w:style>
  <w:style w:type="paragraph" w:customStyle="1" w:styleId="62">
    <w:name w:val="正文小四"/>
    <w:basedOn w:val="1"/>
    <w:qFormat/>
    <w:uiPriority w:val="0"/>
    <w:pPr>
      <w:spacing w:line="460" w:lineRule="exact"/>
      <w:ind w:firstLine="600" w:firstLineChars="200"/>
    </w:pPr>
    <w:rPr>
      <w:rFonts w:ascii="宋体" w:hAnsi="宋体"/>
      <w:spacing w:val="30"/>
      <w:kern w:val="24"/>
      <w:sz w:val="24"/>
    </w:rPr>
  </w:style>
  <w:style w:type="paragraph" w:customStyle="1" w:styleId="63">
    <w:name w:val=" Char2 Char Char Char"/>
    <w:basedOn w:val="1"/>
    <w:uiPriority w:val="0"/>
    <w:pPr>
      <w:widowControl w:val="0"/>
      <w:spacing w:line="360" w:lineRule="auto"/>
      <w:ind w:firstLine="200" w:firstLineChars="200"/>
      <w:jc w:val="both"/>
    </w:pPr>
    <w:rPr>
      <w:rFonts w:ascii="宋体" w:hAnsi="宋体" w:eastAsia="宋体" w:cs="宋体"/>
      <w:kern w:val="2"/>
      <w:szCs w:val="24"/>
    </w:rPr>
  </w:style>
  <w:style w:type="paragraph" w:customStyle="1" w:styleId="64">
    <w:name w:val="1"/>
    <w:basedOn w:val="1"/>
    <w:uiPriority w:val="0"/>
    <w:pPr>
      <w:widowControl/>
      <w:spacing w:after="160" w:line="240" w:lineRule="exact"/>
      <w:jc w:val="left"/>
    </w:pPr>
    <w:rPr>
      <w:rFonts w:ascii="Verdana" w:hAnsi="Verdana"/>
      <w:kern w:val="0"/>
      <w:sz w:val="20"/>
      <w:szCs w:val="20"/>
      <w:lang w:eastAsia="en-US"/>
    </w:rPr>
  </w:style>
  <w:style w:type="paragraph" w:customStyle="1" w:styleId="65">
    <w:name w:val="报告表格内中"/>
    <w:basedOn w:val="1"/>
    <w:qFormat/>
    <w:uiPriority w:val="0"/>
    <w:pPr>
      <w:widowControl w:val="0"/>
      <w:spacing w:before="100" w:beforeAutospacing="1"/>
      <w:jc w:val="center"/>
    </w:pPr>
    <w:rPr>
      <w:kern w:val="2"/>
      <w:sz w:val="24"/>
      <w:szCs w:val="24"/>
    </w:rPr>
  </w:style>
  <w:style w:type="paragraph" w:customStyle="1" w:styleId="66">
    <w:name w:val="三级标题"/>
    <w:basedOn w:val="1"/>
    <w:uiPriority w:val="0"/>
    <w:pPr>
      <w:spacing w:line="360" w:lineRule="auto"/>
    </w:pPr>
    <w:rPr>
      <w:rFonts w:ascii="宋体" w:hAnsi="宋体"/>
      <w:bCs/>
      <w:sz w:val="24"/>
    </w:rPr>
  </w:style>
  <w:style w:type="paragraph" w:customStyle="1" w:styleId="67">
    <w:name w:val="正文 New New New New New New New New New New New New New New New New New New New New New New New New New New"/>
    <w:uiPriority w:val="0"/>
    <w:pPr>
      <w:spacing w:line="425" w:lineRule="atLeast"/>
      <w:jc w:val="both"/>
      <w:textAlignment w:val="baseline"/>
    </w:pPr>
    <w:rPr>
      <w:color w:val="000000"/>
      <w:sz w:val="21"/>
      <w:u w:val="none" w:color="000000"/>
      <w:lang w:val="en-US" w:eastAsia="zh-CN" w:bidi="ar-SA"/>
    </w:rPr>
  </w:style>
  <w:style w:type="paragraph" w:customStyle="1" w:styleId="68">
    <w:name w:val="表格1"/>
    <w:basedOn w:val="1"/>
    <w:next w:val="1"/>
    <w:qFormat/>
    <w:uiPriority w:val="0"/>
    <w:pPr>
      <w:topLinePunct/>
      <w:autoSpaceDE w:val="0"/>
      <w:autoSpaceDN w:val="0"/>
      <w:adjustRightInd w:val="0"/>
      <w:jc w:val="center"/>
      <w:textAlignment w:val="baseline"/>
    </w:pPr>
    <w:rPr>
      <w:rFonts w:ascii="宋体" w:hAnsi="Impact"/>
      <w:kern w:val="24"/>
      <w:sz w:val="28"/>
      <w:szCs w:val="20"/>
    </w:rPr>
  </w:style>
  <w:style w:type="paragraph" w:customStyle="1" w:styleId="69">
    <w:name w:val="表格2"/>
    <w:basedOn w:val="68"/>
    <w:next w:val="1"/>
    <w:uiPriority w:val="0"/>
    <w:rPr>
      <w:position w:val="-28"/>
      <w:sz w:val="21"/>
    </w:rPr>
  </w:style>
  <w:style w:type="paragraph" w:customStyle="1" w:styleId="70">
    <w:name w:val=" Char Char1 Char Char Char Char"/>
    <w:basedOn w:val="1"/>
    <w:uiPriority w:val="0"/>
    <w:pPr>
      <w:snapToGrid w:val="0"/>
      <w:spacing w:line="360" w:lineRule="auto"/>
      <w:ind w:firstLine="529" w:firstLineChars="200"/>
    </w:pPr>
    <w:rPr>
      <w:rFonts w:ascii="宋体" w:hAnsi="宋体"/>
      <w:b/>
    </w:rPr>
  </w:style>
  <w:style w:type="paragraph" w:customStyle="1" w:styleId="71">
    <w:name w:val="zhang正文"/>
    <w:basedOn w:val="13"/>
    <w:uiPriority w:val="0"/>
    <w:pPr>
      <w:autoSpaceDE w:val="0"/>
      <w:autoSpaceDN w:val="0"/>
      <w:adjustRightInd w:val="0"/>
      <w:snapToGrid w:val="0"/>
      <w:spacing w:line="500" w:lineRule="exact"/>
      <w:ind w:firstLine="539"/>
      <w:textAlignment w:val="baseline"/>
    </w:pPr>
    <w:rPr>
      <w:rFonts w:ascii="Times New Roman" w:eastAsia="楷体_GB2312"/>
      <w:kern w:val="0"/>
      <w:sz w:val="28"/>
      <w:szCs w:val="20"/>
    </w:rPr>
  </w:style>
  <w:style w:type="paragraph" w:customStyle="1" w:styleId="72">
    <w:name w:val=" 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73">
    <w:name w:val="正文 03"/>
    <w:basedOn w:val="1"/>
    <w:qFormat/>
    <w:uiPriority w:val="0"/>
    <w:pPr>
      <w:autoSpaceDE w:val="0"/>
      <w:autoSpaceDN w:val="0"/>
      <w:adjustRightInd w:val="0"/>
      <w:textAlignment w:val="baseline"/>
    </w:pPr>
    <w:rPr>
      <w:rFonts w:eastAsia="楷体_GB2312"/>
      <w:kern w:val="0"/>
      <w:sz w:val="24"/>
      <w:szCs w:val="20"/>
    </w:rPr>
  </w:style>
  <w:style w:type="paragraph" w:customStyle="1" w:styleId="74">
    <w:name w:val="Char"/>
    <w:basedOn w:val="1"/>
    <w:uiPriority w:val="0"/>
    <w:pPr>
      <w:widowControl/>
      <w:spacing w:after="160" w:line="240" w:lineRule="exact"/>
      <w:ind w:left="100" w:leftChars="-100" w:hanging="200" w:hangingChars="200"/>
      <w:jc w:val="left"/>
    </w:pPr>
    <w:rPr>
      <w:szCs w:val="20"/>
    </w:rPr>
  </w:style>
  <w:style w:type="paragraph" w:customStyle="1" w:styleId="75">
    <w:name w:val="样式 小四 行距: 固定值 24 磅 首行缩进:  2 字符"/>
    <w:basedOn w:val="1"/>
    <w:qFormat/>
    <w:uiPriority w:val="0"/>
    <w:pPr>
      <w:spacing w:line="440" w:lineRule="exact"/>
      <w:ind w:firstLine="200"/>
    </w:pPr>
    <w:rPr>
      <w:spacing w:val="0"/>
      <w:szCs w:val="24"/>
    </w:rPr>
  </w:style>
  <w:style w:type="paragraph" w:customStyle="1" w:styleId="76">
    <w:name w:val="表格文字"/>
    <w:basedOn w:val="1"/>
    <w:uiPriority w:val="0"/>
    <w:pPr>
      <w:adjustRightInd w:val="0"/>
      <w:spacing w:before="50" w:after="50" w:line="0" w:lineRule="atLeast"/>
      <w:jc w:val="center"/>
      <w:textAlignment w:val="baseline"/>
    </w:pPr>
    <w:rPr>
      <w:rFonts w:eastAsia="華康中黑體"/>
      <w:kern w:val="0"/>
      <w:sz w:val="20"/>
      <w:szCs w:val="20"/>
      <w:lang w:eastAsia="zh-TW"/>
    </w:rPr>
  </w:style>
  <w:style w:type="paragraph" w:customStyle="1" w:styleId="77">
    <w:name w:val="正文 New"/>
    <w:qFormat/>
    <w:uiPriority w:val="0"/>
    <w:pPr>
      <w:spacing w:line="425" w:lineRule="atLeast"/>
      <w:jc w:val="both"/>
      <w:textAlignment w:val="baseline"/>
    </w:pPr>
    <w:rPr>
      <w:color w:val="000000"/>
      <w:sz w:val="21"/>
      <w:szCs w:val="22"/>
      <w:lang w:val="en-US" w:eastAsia="zh-CN" w:bidi="ar-SA"/>
    </w:rPr>
  </w:style>
  <w:style w:type="paragraph" w:customStyle="1" w:styleId="78">
    <w:name w:val="样式 正文文字 + 首行缩进:  2 字符 行距: 最小值 24 磅"/>
    <w:basedOn w:val="1"/>
    <w:uiPriority w:val="0"/>
    <w:pPr>
      <w:adjustRightInd w:val="0"/>
      <w:snapToGrid w:val="0"/>
      <w:spacing w:line="480" w:lineRule="atLeast"/>
      <w:ind w:firstLine="480" w:firstLineChars="200"/>
    </w:pPr>
    <w:rPr>
      <w:rFonts w:ascii="Times New Roman" w:hAnsi="Times New Roman" w:eastAsia="宋体" w:cs="宋体"/>
      <w:sz w:val="24"/>
      <w:szCs w:val="20"/>
    </w:rPr>
  </w:style>
  <w:style w:type="paragraph" w:customStyle="1" w:styleId="79">
    <w:name w:val=" Char1"/>
    <w:basedOn w:val="1"/>
    <w:uiPriority w:val="0"/>
    <w:pPr>
      <w:autoSpaceDE w:val="0"/>
      <w:autoSpaceDN w:val="0"/>
      <w:adjustRightInd w:val="0"/>
      <w:snapToGrid w:val="0"/>
      <w:spacing w:before="50" w:after="50" w:line="360" w:lineRule="auto"/>
      <w:ind w:firstLine="560" w:firstLineChars="200"/>
    </w:pPr>
    <w:rPr>
      <w:rFonts w:ascii="宋体" w:hAnsi="宋体" w:eastAsia="仿宋_GB2312"/>
      <w:color w:val="000000"/>
      <w:sz w:val="24"/>
    </w:rPr>
  </w:style>
  <w:style w:type="paragraph" w:customStyle="1" w:styleId="80">
    <w:name w:val="正文 New New New New New"/>
    <w:qFormat/>
    <w:uiPriority w:val="0"/>
    <w:pPr>
      <w:spacing w:line="425" w:lineRule="atLeast"/>
      <w:jc w:val="both"/>
      <w:textAlignment w:val="baseline"/>
    </w:pPr>
    <w:rPr>
      <w:color w:val="000000"/>
      <w:sz w:val="21"/>
      <w:szCs w:val="22"/>
      <w:lang w:val="en-US" w:eastAsia="zh-CN" w:bidi="ar-SA"/>
    </w:rPr>
  </w:style>
  <w:style w:type="paragraph" w:customStyle="1" w:styleId="81">
    <w:name w:val="正文 New New New New"/>
    <w:qFormat/>
    <w:uiPriority w:val="0"/>
    <w:pPr>
      <w:spacing w:line="425" w:lineRule="atLeast"/>
      <w:jc w:val="both"/>
      <w:textAlignment w:val="baseline"/>
    </w:pPr>
    <w:rPr>
      <w:color w:val="000000"/>
      <w:sz w:val="21"/>
      <w:szCs w:val="22"/>
      <w:lang w:val="en-US" w:eastAsia="zh-CN" w:bidi="ar-SA"/>
    </w:rPr>
  </w:style>
  <w:style w:type="paragraph" w:customStyle="1" w:styleId="82">
    <w:name w:val="默认段落字体 Para Char Char Char Char"/>
    <w:basedOn w:val="1"/>
    <w:uiPriority w:val="0"/>
    <w:rPr>
      <w:szCs w:val="21"/>
    </w:rPr>
  </w:style>
  <w:style w:type="paragraph" w:customStyle="1" w:styleId="83">
    <w:name w:val=" Char Char1 Char Char Char Char Char Char"/>
    <w:basedOn w:val="1"/>
    <w:uiPriority w:val="0"/>
    <w:pPr>
      <w:snapToGrid w:val="0"/>
      <w:spacing w:line="360" w:lineRule="auto"/>
      <w:ind w:firstLine="529" w:firstLineChars="200"/>
    </w:pPr>
    <w:rPr>
      <w:rFonts w:ascii="宋体" w:hAnsi="宋体"/>
      <w:b/>
    </w:rPr>
  </w:style>
  <w:style w:type="paragraph" w:customStyle="1" w:styleId="84">
    <w:name w:val="山焦报告正文"/>
    <w:basedOn w:val="1"/>
    <w:uiPriority w:val="0"/>
    <w:pPr>
      <w:adjustRightInd w:val="0"/>
      <w:snapToGrid w:val="0"/>
      <w:spacing w:before="78" w:beforeLines="25" w:line="440" w:lineRule="exact"/>
      <w:ind w:firstLine="200" w:firstLineChars="200"/>
    </w:pPr>
    <w:rPr>
      <w:color w:val="000000"/>
      <w:sz w:val="24"/>
    </w:rPr>
  </w:style>
  <w:style w:type="paragraph" w:customStyle="1" w:styleId="85">
    <w:name w:val="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8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87">
    <w:name w:val="列出段落1"/>
    <w:basedOn w:val="1"/>
    <w:qFormat/>
    <w:uiPriority w:val="34"/>
    <w:pPr>
      <w:ind w:firstLine="420" w:firstLineChars="200"/>
    </w:pPr>
  </w:style>
  <w:style w:type="paragraph" w:customStyle="1" w:styleId="88">
    <w:name w:val="正文2"/>
    <w:uiPriority w:val="99"/>
    <w:pPr>
      <w:widowControl w:val="0"/>
      <w:suppressAutoHyphens/>
      <w:spacing w:line="520" w:lineRule="atLeast"/>
      <w:ind w:firstLine="680"/>
      <w:jc w:val="both"/>
    </w:pPr>
    <w:rPr>
      <w:rFonts w:ascii="Times New Roman" w:hAnsi="Times New Roman"/>
      <w:spacing w:val="18"/>
      <w:sz w:val="32"/>
      <w:lang w:val="en-US" w:eastAsia="zh-CN" w:bidi="ar-SA"/>
    </w:rPr>
  </w:style>
  <w:style w:type="paragraph" w:customStyle="1" w:styleId="89">
    <w:name w:val=" Char Char Char Char Char Char Char Char Char Char Char Char Char Char Char Char Char Char Char"/>
    <w:basedOn w:val="1"/>
    <w:semiHidden/>
    <w:qFormat/>
    <w:uiPriority w:val="0"/>
    <w:rPr>
      <w:sz w:val="24"/>
    </w:rPr>
  </w:style>
  <w:style w:type="paragraph" w:customStyle="1" w:styleId="90">
    <w:name w:val="表格 32"/>
    <w:basedOn w:val="1"/>
    <w:uiPriority w:val="0"/>
    <w:pPr>
      <w:autoSpaceDE w:val="0"/>
      <w:autoSpaceDN w:val="0"/>
      <w:adjustRightInd w:val="0"/>
      <w:jc w:val="center"/>
      <w:textAlignment w:val="baseline"/>
    </w:pPr>
    <w:rPr>
      <w:rFonts w:ascii="宋体" w:hAnsi="Impact"/>
      <w:kern w:val="24"/>
      <w:sz w:val="24"/>
      <w:szCs w:val="20"/>
    </w:rPr>
  </w:style>
  <w:style w:type="paragraph" w:customStyle="1" w:styleId="91">
    <w:name w:val="正文 New New New New New New New New New New New New New New New New New New New New New New New New New"/>
    <w:uiPriority w:val="0"/>
    <w:pPr>
      <w:spacing w:line="425" w:lineRule="atLeast"/>
      <w:jc w:val="both"/>
      <w:textAlignment w:val="baseline"/>
    </w:pPr>
    <w:rPr>
      <w:color w:val="000000"/>
      <w:sz w:val="21"/>
      <w:u w:val="none" w:color="000000"/>
      <w:lang w:val="en-US" w:eastAsia="zh-CN" w:bidi="ar-SA"/>
    </w:rPr>
  </w:style>
  <w:style w:type="paragraph" w:customStyle="1" w:styleId="92">
    <w:name w:val="列出段落3"/>
    <w:basedOn w:val="1"/>
    <w:unhideWhenUsed/>
    <w:qFormat/>
    <w:uiPriority w:val="99"/>
    <w:pPr>
      <w:ind w:firstLine="420" w:firstLineChars="200"/>
    </w:pPr>
  </w:style>
  <w:style w:type="paragraph" w:customStyle="1" w:styleId="93">
    <w:name w:val="标准"/>
    <w:basedOn w:val="1"/>
    <w:uiPriority w:val="0"/>
    <w:pPr>
      <w:adjustRightInd w:val="0"/>
      <w:spacing w:line="312" w:lineRule="atLeast"/>
      <w:jc w:val="center"/>
      <w:textAlignment w:val="baseline"/>
    </w:pPr>
    <w:rPr>
      <w:kern w:val="0"/>
    </w:rPr>
  </w:style>
  <w:style w:type="paragraph" w:customStyle="1" w:styleId="94">
    <w:name w:val="2.1.1"/>
    <w:basedOn w:val="1"/>
    <w:uiPriority w:val="0"/>
    <w:rPr>
      <w:sz w:val="24"/>
    </w:rPr>
  </w:style>
  <w:style w:type="paragraph" w:customStyle="1" w:styleId="95">
    <w:name w:val="表内"/>
    <w:basedOn w:val="1"/>
    <w:uiPriority w:val="0"/>
    <w:pPr>
      <w:jc w:val="center"/>
    </w:pPr>
    <w:rPr>
      <w:szCs w:val="20"/>
    </w:rPr>
  </w:style>
  <w:style w:type="character" w:customStyle="1" w:styleId="96">
    <w:name w:val="正文缩进 Char"/>
    <w:link w:val="9"/>
    <w:uiPriority w:val="0"/>
    <w:rPr>
      <w:rFonts w:eastAsia="宋体"/>
      <w:kern w:val="2"/>
      <w:sz w:val="21"/>
      <w:szCs w:val="24"/>
      <w:lang w:val="en-US" w:eastAsia="zh-CN" w:bidi="ar-SA"/>
    </w:rPr>
  </w:style>
  <w:style w:type="character" w:customStyle="1" w:styleId="97">
    <w:name w:val="正文文本缩进 3 Char Char"/>
    <w:aliases w:val="正文文本缩进 31,正文文本缩进 311,正文文字缩进4,正文文本缩进 3111"/>
    <w:uiPriority w:val="0"/>
    <w:rPr>
      <w:rFonts w:ascii="宋体" w:hAnsi="宋体" w:eastAsia="宋体"/>
      <w:b/>
      <w:bCs/>
      <w:kern w:val="2"/>
      <w:sz w:val="24"/>
      <w:lang w:val="en-US" w:eastAsia="zh-CN" w:bidi="ar-SA"/>
    </w:rPr>
  </w:style>
  <w:style w:type="character" w:customStyle="1" w:styleId="98">
    <w:name w:val="正文文字 Char"/>
    <w:qFormat/>
    <w:uiPriority w:val="0"/>
    <w:rPr>
      <w:rFonts w:eastAsia="宋体"/>
      <w:kern w:val="2"/>
      <w:sz w:val="24"/>
      <w:szCs w:val="24"/>
      <w:lang w:val="en-US" w:eastAsia="zh-CN" w:bidi="ar-SA"/>
    </w:rPr>
  </w:style>
  <w:style w:type="character" w:customStyle="1" w:styleId="99">
    <w:name w:val="fontstyle01"/>
    <w:basedOn w:val="31"/>
    <w:uiPriority w:val="0"/>
    <w:rPr>
      <w:rFonts w:hint="eastAsia" w:ascii="宋体" w:hAnsi="宋体" w:eastAsia="宋体" w:cs="宋体"/>
      <w:color w:val="000000"/>
      <w:sz w:val="18"/>
      <w:szCs w:val="18"/>
    </w:rPr>
  </w:style>
  <w:style w:type="character" w:customStyle="1" w:styleId="100">
    <w:name w:val="正文文本缩进 Char"/>
    <w:link w:val="13"/>
    <w:uiPriority w:val="0"/>
    <w:rPr>
      <w:rFonts w:ascii="宋体" w:eastAsia="宋体"/>
      <w:kern w:val="2"/>
      <w:sz w:val="24"/>
      <w:szCs w:val="24"/>
      <w:lang w:val="en-US" w:eastAsia="zh-CN" w:bidi="ar-SA"/>
    </w:rPr>
  </w:style>
  <w:style w:type="character" w:customStyle="1" w:styleId="101">
    <w:name w:val="style5"/>
    <w:basedOn w:val="31"/>
    <w:uiPriority w:val="0"/>
  </w:style>
  <w:style w:type="character" w:customStyle="1" w:styleId="102">
    <w:name w:val="纯文本 Char"/>
    <w:link w:val="15"/>
    <w:uiPriority w:val="0"/>
    <w:rPr>
      <w:rFonts w:ascii="宋体" w:hAnsi="Courier New" w:eastAsia="宋体" w:cs="Courier New"/>
      <w:kern w:val="2"/>
      <w:sz w:val="21"/>
      <w:szCs w:val="21"/>
      <w:lang w:val="en-US" w:eastAsia="zh-CN" w:bidi="ar-SA"/>
    </w:rPr>
  </w:style>
  <w:style w:type="character" w:customStyle="1" w:styleId="103">
    <w:name w:val="正文内容 Char"/>
    <w:link w:val="43"/>
    <w:uiPriority w:val="0"/>
    <w:rPr>
      <w:rFonts w:ascii="宋体" w:eastAsia="宋体"/>
      <w:kern w:val="2"/>
      <w:sz w:val="24"/>
      <w:szCs w:val="24"/>
      <w:lang w:val="en-US" w:eastAsia="zh-CN" w:bidi="ar-SA"/>
    </w:rPr>
  </w:style>
  <w:style w:type="character" w:customStyle="1" w:styleId="104">
    <w:name w:val="正文缩进2 Char Char Char Char Char Char Cha"/>
    <w:uiPriority w:val="0"/>
    <w:rPr>
      <w:rFonts w:ascii="宋体" w:eastAsia="宋体"/>
      <w:kern w:val="2"/>
      <w:sz w:val="24"/>
      <w:szCs w:val="24"/>
      <w:lang w:val="en-US" w:eastAsia="zh-CN" w:bidi="ar-SA"/>
    </w:rPr>
  </w:style>
  <w:style w:type="character" w:customStyle="1" w:styleId="105">
    <w:name w:val="fontstyle21"/>
    <w:basedOn w:val="31"/>
    <w:uiPriority w:val="0"/>
    <w:rPr>
      <w:rFonts w:hint="default" w:ascii="Times New Roman" w:hAnsi="Times New Roman" w:cs="Times New Roman"/>
      <w:color w:val="000000"/>
      <w:sz w:val="24"/>
      <w:szCs w:val="24"/>
    </w:rPr>
  </w:style>
  <w:style w:type="character" w:customStyle="1" w:styleId="106">
    <w:name w:val="fontstyle31"/>
    <w:basedOn w:val="31"/>
    <w:uiPriority w:val="0"/>
    <w:rPr>
      <w:rFonts w:hint="default" w:ascii="Times New Roman" w:hAnsi="Times New Roman" w:cs="Times New Roman"/>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92"/>
    <customShpInfo spid="_x0000_s2219"/>
    <customShpInfo spid="_x0000_s2220"/>
    <customShpInfo spid="_x0000_s22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47</Pages>
  <Words>21889</Words>
  <Characters>24895</Characters>
  <Lines>138</Lines>
  <Paragraphs>39</Paragraphs>
  <TotalTime>2</TotalTime>
  <ScaleCrop>false</ScaleCrop>
  <LinksUpToDate>false</LinksUpToDate>
  <CharactersWithSpaces>25443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2012-07-18T08:58:00Z</dcterms:created>
  <dc:creator>a</dc:creator>
  <cp:lastModifiedBy>呼呼</cp:lastModifiedBy>
  <cp:lastPrinted>2019-01-15T10:54:37Z</cp:lastPrinted>
  <dcterms:modified xsi:type="dcterms:W3CDTF">2019-02-21T03:09:29Z</dcterms:modified>
  <dc:title>建设项目基本情况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